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508" w:rsidRDefault="00B31508">
      <w:pPr>
        <w:spacing w:after="0" w:line="240" w:lineRule="auto"/>
        <w:rPr>
          <w:rFonts w:ascii="Courier New" w:eastAsia="Courier New" w:hAnsi="Courier New" w:cs="Courier New"/>
          <w:color w:val="000000"/>
          <w:sz w:val="24"/>
        </w:rPr>
        <w:sectPr w:rsidR="00B31508">
          <w:pgSz w:w="11906" w:h="16838"/>
          <w:pgMar w:top="1417" w:right="1417" w:bottom="1417" w:left="1417" w:header="708" w:footer="708" w:gutter="0"/>
          <w:cols w:space="708"/>
          <w:docGrid w:linePitch="360"/>
        </w:sectPr>
      </w:pPr>
      <w:bookmarkStart w:id="0" w:name="_GoBack"/>
      <w:bookmarkEnd w:id="0"/>
    </w:p>
    <w:p w:rsidR="003B31A3" w:rsidRDefault="003B31A3">
      <w:pPr>
        <w:spacing w:after="0" w:line="240" w:lineRule="auto"/>
        <w:rPr>
          <w:rFonts w:ascii="Courier New" w:eastAsia="Courier New" w:hAnsi="Courier New" w:cs="Courier New"/>
          <w:color w:val="000000"/>
          <w:sz w:val="24"/>
        </w:rPr>
      </w:pPr>
    </w:p>
    <w:p w:rsidR="003B31A3" w:rsidRDefault="00B31508">
      <w:pPr>
        <w:spacing w:after="0" w:line="240" w:lineRule="auto"/>
        <w:rPr>
          <w:rFonts w:ascii="Courier New" w:eastAsia="Courier New" w:hAnsi="Courier New" w:cs="Courier New"/>
          <w:color w:val="000000"/>
          <w:sz w:val="20"/>
        </w:rPr>
      </w:pPr>
      <w:r>
        <w:rPr>
          <w:rFonts w:ascii="Courier New" w:eastAsia="Courier New" w:hAnsi="Courier New" w:cs="Courier New"/>
          <w:color w:val="000000"/>
          <w:sz w:val="24"/>
        </w:rPr>
        <w:t xml:space="preserve"> </w:t>
      </w:r>
    </w:p>
    <w:p w:rsidR="003B31A3" w:rsidRDefault="003B31A3">
      <w:pPr>
        <w:spacing w:after="0" w:line="240" w:lineRule="auto"/>
        <w:rPr>
          <w:rFonts w:ascii="Courier New" w:eastAsia="Courier New" w:hAnsi="Courier New" w:cs="Courier New"/>
          <w:sz w:val="24"/>
        </w:rPr>
      </w:pPr>
    </w:p>
    <w:p w:rsidR="003B31A3" w:rsidRDefault="00B3150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DEVLET HAVA MEYDANLARI İŞLETMESİ GENEL MÜDÜRLÜĞÜ</w:t>
      </w:r>
    </w:p>
    <w:p w:rsidR="003B31A3" w:rsidRDefault="00B3150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ŞIRNAK ŞERAFETTİN ELÇİ HAVALİMANI MÜDÜRLÜĞÜ</w:t>
      </w:r>
    </w:p>
    <w:p w:rsidR="003B31A3" w:rsidRDefault="00B3150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AKARYAKIT ÜRÜNLERİ ALIMI TEKNİK ŞARTNAMESİ</w:t>
      </w:r>
    </w:p>
    <w:p w:rsidR="003B31A3" w:rsidRDefault="003B31A3">
      <w:pPr>
        <w:spacing w:after="0" w:line="240" w:lineRule="auto"/>
        <w:jc w:val="center"/>
        <w:rPr>
          <w:rFonts w:ascii="Times New Roman" w:eastAsia="Times New Roman" w:hAnsi="Times New Roman" w:cs="Times New Roman"/>
          <w:sz w:val="28"/>
        </w:rPr>
      </w:pPr>
    </w:p>
    <w:p w:rsidR="003B31A3" w:rsidRDefault="00B3150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KONU : </w:t>
      </w:r>
    </w:p>
    <w:p w:rsidR="003B31A3" w:rsidRDefault="00B315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İşbu Teknik Şartname Şırnak Şerafettin Elçi Havalimanı Müdürlüğü ve İdari yönden bağlı bulunan SSY istasyonları veya birimlerinin ihtiyacı olan ve EK-1'de belirlenen akaryakıt ürünlerinin temini için geçerlidir. </w:t>
      </w:r>
    </w:p>
    <w:p w:rsidR="003B31A3" w:rsidRDefault="003B31A3">
      <w:pPr>
        <w:spacing w:after="0" w:line="240" w:lineRule="auto"/>
        <w:jc w:val="both"/>
        <w:rPr>
          <w:rFonts w:ascii="Times New Roman" w:eastAsia="Times New Roman" w:hAnsi="Times New Roman" w:cs="Times New Roman"/>
          <w:sz w:val="24"/>
        </w:rPr>
      </w:pPr>
    </w:p>
    <w:p w:rsidR="003B31A3" w:rsidRDefault="00B3150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1-GENEL HÜKÜMLER: </w:t>
      </w:r>
    </w:p>
    <w:p w:rsidR="00076C28" w:rsidRDefault="00076C28">
      <w:pPr>
        <w:spacing w:after="0" w:line="240" w:lineRule="auto"/>
        <w:jc w:val="both"/>
        <w:rPr>
          <w:rFonts w:ascii="Times New Roman" w:eastAsia="Times New Roman" w:hAnsi="Times New Roman" w:cs="Times New Roman"/>
          <w:b/>
          <w:sz w:val="24"/>
        </w:rPr>
      </w:pPr>
    </w:p>
    <w:p w:rsidR="003B31A3" w:rsidRDefault="00B315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1.1- </w:t>
      </w:r>
      <w:r>
        <w:rPr>
          <w:rFonts w:ascii="Times New Roman" w:eastAsia="Times New Roman" w:hAnsi="Times New Roman" w:cs="Times New Roman"/>
          <w:sz w:val="24"/>
        </w:rPr>
        <w:t xml:space="preserve">Bu Teknik Şartnamede Şırnak Şerafettin Elçi Havalimanı Müdürlüğü “İDARE”, İhaleye katılacak istekli ise “YÜKLENİCİ” olarak adlandırılmıştır. </w:t>
      </w:r>
    </w:p>
    <w:p w:rsidR="003B31A3" w:rsidRDefault="003B31A3">
      <w:pPr>
        <w:spacing w:after="0" w:line="240" w:lineRule="auto"/>
        <w:rPr>
          <w:rFonts w:ascii="Times New Roman" w:eastAsia="Times New Roman" w:hAnsi="Times New Roman" w:cs="Times New Roman"/>
          <w:sz w:val="24"/>
        </w:rPr>
      </w:pPr>
    </w:p>
    <w:p w:rsidR="003B31A3" w:rsidRDefault="00B315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w:t>
      </w:r>
      <w:r w:rsidR="00076C28">
        <w:rPr>
          <w:rFonts w:ascii="Times New Roman" w:eastAsia="Times New Roman" w:hAnsi="Times New Roman" w:cs="Times New Roman"/>
          <w:b/>
          <w:sz w:val="24"/>
        </w:rPr>
        <w:t>2</w:t>
      </w:r>
      <w:r>
        <w:rPr>
          <w:rFonts w:ascii="Times New Roman" w:eastAsia="Times New Roman" w:hAnsi="Times New Roman" w:cs="Times New Roman"/>
          <w:b/>
          <w:sz w:val="24"/>
        </w:rPr>
        <w:t xml:space="preserve">- </w:t>
      </w:r>
      <w:r>
        <w:rPr>
          <w:rFonts w:ascii="Times New Roman" w:eastAsia="Times New Roman" w:hAnsi="Times New Roman" w:cs="Times New Roman"/>
          <w:sz w:val="24"/>
        </w:rPr>
        <w:t>İhale konusu malın cinsi Teknik Şartname eki EK-1'de gösterilmiştir. İstekliler EK-1’deki mal için tekliflerini, her bir iş kaleminin miktarı ile bu iş kalemleri için teklif edilen birim fiyatlarının çarpımı sonucu bulunan toplam bedel üzerinden vereceklerdir. İhale sonucu, ihale üzerine bırakılan istekliyle her bir iş kaleminin miktarı ile iş kalemleri için teklif edilen birim fiyatların çarpımı sonucu bulunan toplam bedel üzerinden birim fiyat sözleşmesi imzalanacaktır.</w:t>
      </w:r>
    </w:p>
    <w:p w:rsidR="003B31A3" w:rsidRDefault="00B315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B31A3" w:rsidRDefault="00B315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w:t>
      </w:r>
      <w:r w:rsidR="00076C28">
        <w:rPr>
          <w:rFonts w:ascii="Times New Roman" w:eastAsia="Times New Roman" w:hAnsi="Times New Roman" w:cs="Times New Roman"/>
          <w:b/>
          <w:sz w:val="24"/>
        </w:rPr>
        <w:t>3</w:t>
      </w:r>
      <w:r>
        <w:rPr>
          <w:rFonts w:ascii="Times New Roman" w:eastAsia="Times New Roman" w:hAnsi="Times New Roman" w:cs="Times New Roman"/>
          <w:sz w:val="24"/>
        </w:rPr>
        <w:t xml:space="preserve">- Bu ihalede kısmi teklif verilebilir. İsteklilerin teklifleri kalem bazında ayrı ayrı değerlendirilecektir. İsteklilerce verilecek tekliflerin ihale konusu alımın tamamını mı yoksa bir kısmını mı kapsadığı hususu teklif mektuplarında açıkça belirtilecektir. Teklif edilen her bir iş kaleminden biri veya daha fazlası istekli üzerinde kalabilir. İsteklilerin üzerinde kalan kısımlar için sözleşme imzalanacaktır. </w:t>
      </w:r>
    </w:p>
    <w:p w:rsidR="003B31A3" w:rsidRDefault="003B31A3">
      <w:pPr>
        <w:spacing w:after="0" w:line="240" w:lineRule="auto"/>
        <w:jc w:val="both"/>
        <w:rPr>
          <w:rFonts w:ascii="Calibri" w:eastAsia="Calibri" w:hAnsi="Calibri" w:cs="Calibri"/>
          <w:sz w:val="23"/>
        </w:rPr>
      </w:pPr>
    </w:p>
    <w:p w:rsidR="003B31A3" w:rsidRDefault="00B315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w:t>
      </w:r>
      <w:r w:rsidR="00076C28">
        <w:rPr>
          <w:rFonts w:ascii="Times New Roman" w:eastAsia="Times New Roman" w:hAnsi="Times New Roman" w:cs="Times New Roman"/>
          <w:b/>
          <w:sz w:val="24"/>
        </w:rPr>
        <w:t>4</w:t>
      </w:r>
      <w:r>
        <w:rPr>
          <w:rFonts w:ascii="Times New Roman" w:eastAsia="Times New Roman" w:hAnsi="Times New Roman" w:cs="Times New Roman"/>
          <w:b/>
          <w:sz w:val="24"/>
        </w:rPr>
        <w:t xml:space="preserve">- </w:t>
      </w:r>
      <w:r>
        <w:rPr>
          <w:rFonts w:ascii="Times New Roman" w:eastAsia="Times New Roman" w:hAnsi="Times New Roman" w:cs="Times New Roman"/>
          <w:sz w:val="24"/>
        </w:rPr>
        <w:t>Ekonomik açıdan en avantajlı teklif sadece fiyat esasına göre belirlenecektir. Birden fazla istekli tarafından teklif edilen fiyatın en düşük fiyat olması ve bu fiyatlarında birbirine eşit olması durumunda ''İş Deneyim Belgeleri''nin tutarlarının değerlendirmesi suretiyle ekonomik açıdan en avantajlı teklif belirlenerek ihale sonuçlandırılacaktır.</w:t>
      </w:r>
    </w:p>
    <w:p w:rsidR="003B31A3" w:rsidRDefault="00B315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B31A3" w:rsidRDefault="00B315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w:t>
      </w:r>
      <w:r w:rsidR="00076C28">
        <w:rPr>
          <w:rFonts w:ascii="Times New Roman" w:eastAsia="Times New Roman" w:hAnsi="Times New Roman" w:cs="Times New Roman"/>
          <w:b/>
          <w:sz w:val="24"/>
        </w:rPr>
        <w:t>5</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İstekli firma Enerji Piyasa Denetleme Kurulundan alınmış ''Bayilik Lisans Belgesi''nin aslını veya noter onaylı suretini, </w:t>
      </w:r>
    </w:p>
    <w:p w:rsidR="003B31A3" w:rsidRDefault="003B31A3">
      <w:pPr>
        <w:spacing w:after="0" w:line="240" w:lineRule="auto"/>
        <w:jc w:val="both"/>
        <w:rPr>
          <w:rFonts w:ascii="Times New Roman" w:eastAsia="Times New Roman" w:hAnsi="Times New Roman" w:cs="Times New Roman"/>
          <w:sz w:val="24"/>
        </w:rPr>
      </w:pPr>
    </w:p>
    <w:p w:rsidR="00372F8A" w:rsidRDefault="00B31508" w:rsidP="00372F8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w:t>
      </w:r>
      <w:r w:rsidR="00076C28">
        <w:rPr>
          <w:rFonts w:ascii="Times New Roman" w:eastAsia="Times New Roman" w:hAnsi="Times New Roman" w:cs="Times New Roman"/>
          <w:b/>
          <w:sz w:val="24"/>
        </w:rPr>
        <w:t>6</w:t>
      </w:r>
      <w:r>
        <w:rPr>
          <w:rFonts w:ascii="Times New Roman" w:eastAsia="Times New Roman" w:hAnsi="Times New Roman" w:cs="Times New Roman"/>
          <w:b/>
          <w:sz w:val="24"/>
        </w:rPr>
        <w:t xml:space="preserve">- </w:t>
      </w:r>
      <w:r>
        <w:rPr>
          <w:rFonts w:ascii="Times New Roman" w:eastAsia="Times New Roman" w:hAnsi="Times New Roman" w:cs="Times New Roman"/>
          <w:sz w:val="24"/>
        </w:rPr>
        <w:t>İhaleye katılacak Akaryakıt Bayileri; Enerji Piyasası Düzenleme Kurumu’nun yetki verdiği “Dağıtıcı Lisansına ‘’ sahip herhangi bir dağıtım şirketinin bayisi olduğuna dair, ihalenin yapılacağı tarih ve sözleşme süresi boyunca geçerliliği devam eden “Bayilik Lisansı”nın noter tasdikli suretini veya aslını teklifi ile birlikte verecektir.</w:t>
      </w:r>
    </w:p>
    <w:p w:rsidR="00076C28" w:rsidRDefault="00076C28" w:rsidP="00372F8A">
      <w:pPr>
        <w:spacing w:after="0" w:line="240" w:lineRule="auto"/>
        <w:jc w:val="both"/>
        <w:rPr>
          <w:rFonts w:ascii="Times New Roman" w:eastAsia="Times New Roman" w:hAnsi="Times New Roman" w:cs="Times New Roman"/>
          <w:sz w:val="24"/>
        </w:rPr>
      </w:pPr>
    </w:p>
    <w:p w:rsidR="003B31A3" w:rsidRDefault="00B31508" w:rsidP="00372F8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w:t>
      </w:r>
      <w:r w:rsidR="00076C28">
        <w:rPr>
          <w:rFonts w:ascii="Times New Roman" w:eastAsia="Times New Roman" w:hAnsi="Times New Roman" w:cs="Times New Roman"/>
          <w:b/>
          <w:sz w:val="24"/>
        </w:rPr>
        <w:t>7</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İhaleye katılacak Akaryakıt dağıtım şirketleri; Enerji Piyasa Düzenleme Kurulundan İhalenin yapılacağı yıl içerisinde almış olduğu ve sözleşme süresi boyunca geçerliliğini devam eden “ Dağıtıcı Lisansı”nın noter tasdikli suretini veya aslını teklifi ile birlikte verecektir. </w:t>
      </w:r>
    </w:p>
    <w:p w:rsidR="00076C28" w:rsidRDefault="00076C28" w:rsidP="00372F8A">
      <w:pPr>
        <w:spacing w:after="0" w:line="240" w:lineRule="auto"/>
        <w:jc w:val="both"/>
        <w:rPr>
          <w:rFonts w:ascii="Times New Roman" w:eastAsia="Times New Roman" w:hAnsi="Times New Roman" w:cs="Times New Roman"/>
          <w:sz w:val="24"/>
        </w:rPr>
      </w:pPr>
    </w:p>
    <w:p w:rsidR="003B31A3" w:rsidRDefault="00B315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w:t>
      </w:r>
      <w:r w:rsidR="00076C28">
        <w:rPr>
          <w:rFonts w:ascii="Times New Roman" w:eastAsia="Times New Roman" w:hAnsi="Times New Roman" w:cs="Times New Roman"/>
          <w:b/>
          <w:sz w:val="24"/>
        </w:rPr>
        <w:t>8</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Akaryakıt ürününün belirtilen mahale nakliyesi YÜKLENİCİ’ye aittir. </w:t>
      </w:r>
    </w:p>
    <w:p w:rsidR="003B31A3" w:rsidRDefault="003B31A3">
      <w:pPr>
        <w:spacing w:after="0" w:line="240" w:lineRule="auto"/>
        <w:jc w:val="both"/>
        <w:rPr>
          <w:rFonts w:ascii="Calibri" w:eastAsia="Calibri" w:hAnsi="Calibri" w:cs="Calibri"/>
          <w:sz w:val="23"/>
        </w:rPr>
      </w:pPr>
    </w:p>
    <w:p w:rsidR="003B31A3" w:rsidRDefault="003B31A3">
      <w:pPr>
        <w:spacing w:after="0" w:line="240" w:lineRule="auto"/>
        <w:jc w:val="both"/>
        <w:rPr>
          <w:rFonts w:ascii="Times New Roman" w:eastAsia="Times New Roman" w:hAnsi="Times New Roman" w:cs="Times New Roman"/>
          <w:sz w:val="24"/>
        </w:rPr>
      </w:pPr>
    </w:p>
    <w:p w:rsidR="003B31A3" w:rsidRDefault="00B315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1.1</w:t>
      </w:r>
      <w:r w:rsidR="00A3154E">
        <w:rPr>
          <w:rFonts w:ascii="Times New Roman" w:eastAsia="Times New Roman" w:hAnsi="Times New Roman" w:cs="Times New Roman"/>
          <w:b/>
          <w:sz w:val="24"/>
        </w:rPr>
        <w:t>1</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Malların özellikleri TÜPRAŞ tarafından belirlenen akaryakıt spesifikasyonlarına uygun olacak, ancak TÜPRAŞ tarafından spesifikasyonlar revize edildiği taktirde yerine yeni akaryakıt spesifikasyonu kullanılacaktır. </w:t>
      </w:r>
    </w:p>
    <w:p w:rsidR="003B31A3" w:rsidRDefault="003B31A3">
      <w:pPr>
        <w:spacing w:after="0" w:line="240" w:lineRule="auto"/>
        <w:jc w:val="both"/>
        <w:rPr>
          <w:rFonts w:ascii="Calibri" w:eastAsia="Calibri" w:hAnsi="Calibri" w:cs="Calibri"/>
          <w:sz w:val="23"/>
        </w:rPr>
      </w:pPr>
    </w:p>
    <w:p w:rsidR="003B31A3" w:rsidRDefault="00B3150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2-TEKNİK ÖZELLİKLER : </w:t>
      </w:r>
    </w:p>
    <w:p w:rsidR="003B31A3" w:rsidRDefault="003B31A3">
      <w:pPr>
        <w:spacing w:after="0" w:line="240" w:lineRule="auto"/>
        <w:rPr>
          <w:rFonts w:ascii="Calibri" w:eastAsia="Calibri" w:hAnsi="Calibri" w:cs="Calibri"/>
          <w:sz w:val="23"/>
        </w:rPr>
      </w:pPr>
    </w:p>
    <w:p w:rsidR="003B31A3" w:rsidRDefault="00B315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2.1 </w:t>
      </w:r>
      <w:r>
        <w:rPr>
          <w:rFonts w:ascii="Times New Roman" w:eastAsia="Times New Roman" w:hAnsi="Times New Roman" w:cs="Times New Roman"/>
          <w:sz w:val="24"/>
        </w:rPr>
        <w:t xml:space="preserve">Satın alınacak petrol ürünlerinin her biri ; (uygulamada bulunan son şekliyle) TSE standartlarına,petrol ürününün TÜPRAŞ’tan alınması durumunda ise TÜPRAŞ’ın garanti ettiği akaryakıt spesifikasyonlarına uygun olacak, ancak TÜPRAŞ tarafından spesifikasyonlar revize edildiği taktirde yerine yeni akaryakıt spesifikasyonu kullanılacaktır. </w:t>
      </w:r>
    </w:p>
    <w:p w:rsidR="003B31A3" w:rsidRDefault="003B31A3">
      <w:pPr>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1600"/>
        <w:gridCol w:w="11"/>
        <w:gridCol w:w="219"/>
        <w:gridCol w:w="12"/>
        <w:gridCol w:w="146"/>
        <w:gridCol w:w="293"/>
        <w:gridCol w:w="879"/>
        <w:gridCol w:w="15"/>
        <w:gridCol w:w="212"/>
        <w:gridCol w:w="311"/>
        <w:gridCol w:w="15"/>
        <w:gridCol w:w="413"/>
        <w:gridCol w:w="579"/>
        <w:gridCol w:w="11"/>
        <w:gridCol w:w="320"/>
        <w:gridCol w:w="259"/>
        <w:gridCol w:w="15"/>
        <w:gridCol w:w="676"/>
        <w:gridCol w:w="229"/>
        <w:gridCol w:w="118"/>
        <w:gridCol w:w="192"/>
        <w:gridCol w:w="190"/>
        <w:gridCol w:w="383"/>
        <w:gridCol w:w="1101"/>
        <w:gridCol w:w="755"/>
      </w:tblGrid>
      <w:tr w:rsidR="003B31A3" w:rsidTr="008E2E3B">
        <w:tc>
          <w:tcPr>
            <w:tcW w:w="1611"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B31508">
            <w:pPr>
              <w:spacing w:after="0" w:line="240" w:lineRule="auto"/>
            </w:pPr>
            <w:r>
              <w:rPr>
                <w:rFonts w:ascii="Verdana" w:eastAsia="Verdana" w:hAnsi="Verdana" w:cs="Verdana"/>
                <w:b/>
                <w:sz w:val="16"/>
              </w:rPr>
              <w:t xml:space="preserve">Kal-yak’ın genel özellikleri(TS-2177):FUEL-OİL 4 </w:t>
            </w:r>
            <w:r>
              <w:rPr>
                <w:rFonts w:ascii="Verdana" w:eastAsia="Verdana" w:hAnsi="Verdana" w:cs="Verdana"/>
                <w:b/>
                <w:color w:val="000000"/>
                <w:sz w:val="16"/>
              </w:rPr>
              <w:t xml:space="preserve">Özellik </w:t>
            </w:r>
          </w:p>
        </w:tc>
        <w:tc>
          <w:tcPr>
            <w:tcW w:w="231"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200" w:line="276" w:lineRule="auto"/>
              <w:rPr>
                <w:rFonts w:ascii="Verdana" w:eastAsia="Verdana" w:hAnsi="Verdana" w:cs="Verdana"/>
                <w:color w:val="000000"/>
                <w:sz w:val="16"/>
              </w:rPr>
            </w:pPr>
          </w:p>
          <w:p w:rsidR="003B31A3" w:rsidRDefault="003B31A3">
            <w:pPr>
              <w:spacing w:after="0" w:line="240" w:lineRule="auto"/>
            </w:pPr>
          </w:p>
        </w:tc>
        <w:tc>
          <w:tcPr>
            <w:tcW w:w="1333" w:type="dxa"/>
            <w:gridSpan w:val="4"/>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pPr>
            <w:r>
              <w:rPr>
                <w:rFonts w:ascii="Verdana" w:eastAsia="Verdana" w:hAnsi="Verdana" w:cs="Verdana"/>
                <w:b/>
                <w:color w:val="000000"/>
                <w:sz w:val="16"/>
              </w:rPr>
              <w:t xml:space="preserve">Birim </w:t>
            </w:r>
          </w:p>
        </w:tc>
        <w:tc>
          <w:tcPr>
            <w:tcW w:w="538"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003" w:type="dxa"/>
            <w:gridSpan w:val="3"/>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pPr>
            <w:r>
              <w:rPr>
                <w:rFonts w:ascii="Verdana" w:eastAsia="Verdana" w:hAnsi="Verdana" w:cs="Verdana"/>
                <w:b/>
                <w:color w:val="000000"/>
                <w:sz w:val="16"/>
              </w:rPr>
              <w:t xml:space="preserve">Değer </w:t>
            </w:r>
          </w:p>
        </w:tc>
        <w:tc>
          <w:tcPr>
            <w:tcW w:w="594"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67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pPr>
            <w:r>
              <w:rPr>
                <w:rFonts w:ascii="Verdana" w:eastAsia="Verdana" w:hAnsi="Verdana" w:cs="Verdana"/>
                <w:b/>
                <w:color w:val="000000"/>
                <w:sz w:val="16"/>
              </w:rPr>
              <w:t xml:space="preserve">Sınır </w:t>
            </w:r>
          </w:p>
        </w:tc>
        <w:tc>
          <w:tcPr>
            <w:tcW w:w="539"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2429" w:type="dxa"/>
            <w:gridSpan w:val="4"/>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pPr>
            <w:r>
              <w:rPr>
                <w:rFonts w:ascii="Verdana" w:eastAsia="Verdana" w:hAnsi="Verdana" w:cs="Verdana"/>
                <w:b/>
                <w:color w:val="000000"/>
                <w:sz w:val="16"/>
              </w:rPr>
              <w:t xml:space="preserve">Deney Yöntemi </w:t>
            </w:r>
          </w:p>
        </w:tc>
      </w:tr>
      <w:tr w:rsidR="003B31A3" w:rsidTr="008E2E3B">
        <w:tc>
          <w:tcPr>
            <w:tcW w:w="1611"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231"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200" w:line="276" w:lineRule="auto"/>
              <w:rPr>
                <w:rFonts w:ascii="Verdana" w:eastAsia="Verdana" w:hAnsi="Verdana" w:cs="Verdana"/>
                <w:color w:val="000000"/>
                <w:sz w:val="16"/>
              </w:rPr>
            </w:pPr>
          </w:p>
          <w:p w:rsidR="003B31A3" w:rsidRDefault="003B31A3">
            <w:pPr>
              <w:spacing w:after="200" w:line="276" w:lineRule="auto"/>
              <w:rPr>
                <w:rFonts w:ascii="Verdana" w:eastAsia="Verdana" w:hAnsi="Verdana" w:cs="Verdana"/>
                <w:color w:val="000000"/>
                <w:sz w:val="16"/>
              </w:rPr>
            </w:pPr>
          </w:p>
          <w:p w:rsidR="003B31A3" w:rsidRDefault="003B31A3">
            <w:pPr>
              <w:spacing w:after="0" w:line="240" w:lineRule="auto"/>
            </w:pPr>
          </w:p>
        </w:tc>
        <w:tc>
          <w:tcPr>
            <w:tcW w:w="1333" w:type="dxa"/>
            <w:gridSpan w:val="4"/>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538"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003" w:type="dxa"/>
            <w:gridSpan w:val="3"/>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594"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67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3B31A3">
            <w:pPr>
              <w:spacing w:after="0" w:line="240" w:lineRule="auto"/>
              <w:jc w:val="right"/>
              <w:rPr>
                <w:rFonts w:ascii="Calibri" w:eastAsia="Calibri" w:hAnsi="Calibri" w:cs="Calibri"/>
              </w:rPr>
            </w:pPr>
          </w:p>
        </w:tc>
        <w:tc>
          <w:tcPr>
            <w:tcW w:w="539"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2429" w:type="dxa"/>
            <w:gridSpan w:val="4"/>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r>
      <w:tr w:rsidR="003B31A3" w:rsidTr="008E2E3B">
        <w:tc>
          <w:tcPr>
            <w:tcW w:w="1611"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B31508">
            <w:pPr>
              <w:spacing w:after="0" w:line="240" w:lineRule="auto"/>
            </w:pPr>
            <w:r>
              <w:rPr>
                <w:rFonts w:ascii="Verdana" w:eastAsia="Verdana" w:hAnsi="Verdana" w:cs="Verdana"/>
                <w:b/>
                <w:color w:val="000000"/>
                <w:sz w:val="16"/>
              </w:rPr>
              <w:t xml:space="preserve">Yoğunluk (150C’ta) </w:t>
            </w:r>
          </w:p>
        </w:tc>
        <w:tc>
          <w:tcPr>
            <w:tcW w:w="231"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200" w:line="276" w:lineRule="auto"/>
              <w:rPr>
                <w:rFonts w:ascii="Verdana" w:eastAsia="Verdana" w:hAnsi="Verdana" w:cs="Verdana"/>
                <w:color w:val="000000"/>
                <w:sz w:val="16"/>
              </w:rPr>
            </w:pPr>
          </w:p>
          <w:p w:rsidR="003B31A3" w:rsidRDefault="003B31A3">
            <w:pPr>
              <w:spacing w:after="0" w:line="240" w:lineRule="auto"/>
            </w:pPr>
          </w:p>
        </w:tc>
        <w:tc>
          <w:tcPr>
            <w:tcW w:w="1333" w:type="dxa"/>
            <w:gridSpan w:val="4"/>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jc w:val="right"/>
            </w:pPr>
            <w:r>
              <w:rPr>
                <w:rFonts w:ascii="Verdana" w:eastAsia="Verdana" w:hAnsi="Verdana" w:cs="Verdana"/>
                <w:b/>
                <w:color w:val="000000"/>
                <w:sz w:val="16"/>
              </w:rPr>
              <w:t>kg/lt</w:t>
            </w:r>
          </w:p>
        </w:tc>
        <w:tc>
          <w:tcPr>
            <w:tcW w:w="538"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003" w:type="dxa"/>
            <w:gridSpan w:val="3"/>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jc w:val="right"/>
            </w:pPr>
            <w:r>
              <w:rPr>
                <w:rFonts w:ascii="Verdana" w:eastAsia="Verdana" w:hAnsi="Verdana" w:cs="Verdana"/>
                <w:b/>
                <w:color w:val="000000"/>
                <w:sz w:val="16"/>
              </w:rPr>
              <w:t>0.998</w:t>
            </w:r>
          </w:p>
        </w:tc>
        <w:tc>
          <w:tcPr>
            <w:tcW w:w="594"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67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jc w:val="right"/>
            </w:pPr>
            <w:r>
              <w:rPr>
                <w:rFonts w:ascii="Verdana" w:eastAsia="Verdana" w:hAnsi="Verdana" w:cs="Verdana"/>
                <w:b/>
                <w:color w:val="000000"/>
                <w:sz w:val="16"/>
              </w:rPr>
              <w:t>En çok</w:t>
            </w:r>
          </w:p>
        </w:tc>
        <w:tc>
          <w:tcPr>
            <w:tcW w:w="539"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2429" w:type="dxa"/>
            <w:gridSpan w:val="4"/>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pPr>
            <w:r>
              <w:rPr>
                <w:rFonts w:ascii="Verdana" w:eastAsia="Verdana" w:hAnsi="Verdana" w:cs="Verdana"/>
                <w:b/>
                <w:color w:val="000000"/>
                <w:sz w:val="16"/>
              </w:rPr>
              <w:t xml:space="preserve">TS 1013 EN ISO 3675 veya TS EN ISO 12185 </w:t>
            </w:r>
          </w:p>
        </w:tc>
      </w:tr>
      <w:tr w:rsidR="003B31A3" w:rsidTr="008E2E3B">
        <w:tc>
          <w:tcPr>
            <w:tcW w:w="1611"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231"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333" w:type="dxa"/>
            <w:gridSpan w:val="4"/>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3B31A3">
            <w:pPr>
              <w:spacing w:after="0" w:line="240" w:lineRule="auto"/>
              <w:jc w:val="right"/>
              <w:rPr>
                <w:rFonts w:ascii="Calibri" w:eastAsia="Calibri" w:hAnsi="Calibri" w:cs="Calibri"/>
              </w:rPr>
            </w:pPr>
          </w:p>
        </w:tc>
        <w:tc>
          <w:tcPr>
            <w:tcW w:w="538"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003" w:type="dxa"/>
            <w:gridSpan w:val="3"/>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3B31A3">
            <w:pPr>
              <w:spacing w:after="0" w:line="240" w:lineRule="auto"/>
              <w:jc w:val="right"/>
              <w:rPr>
                <w:rFonts w:ascii="Calibri" w:eastAsia="Calibri" w:hAnsi="Calibri" w:cs="Calibri"/>
              </w:rPr>
            </w:pPr>
          </w:p>
        </w:tc>
        <w:tc>
          <w:tcPr>
            <w:tcW w:w="594"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67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3B31A3">
            <w:pPr>
              <w:spacing w:after="0" w:line="240" w:lineRule="auto"/>
              <w:jc w:val="right"/>
              <w:rPr>
                <w:rFonts w:ascii="Calibri" w:eastAsia="Calibri" w:hAnsi="Calibri" w:cs="Calibri"/>
              </w:rPr>
            </w:pPr>
          </w:p>
        </w:tc>
        <w:tc>
          <w:tcPr>
            <w:tcW w:w="539"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2429" w:type="dxa"/>
            <w:gridSpan w:val="4"/>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r>
      <w:tr w:rsidR="003B31A3" w:rsidTr="008E2E3B">
        <w:tc>
          <w:tcPr>
            <w:tcW w:w="1611"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B31508">
            <w:pPr>
              <w:spacing w:after="0" w:line="240" w:lineRule="auto"/>
            </w:pPr>
            <w:r>
              <w:rPr>
                <w:rFonts w:ascii="Verdana" w:eastAsia="Verdana" w:hAnsi="Verdana" w:cs="Verdana"/>
                <w:b/>
                <w:color w:val="000000"/>
                <w:sz w:val="16"/>
              </w:rPr>
              <w:t xml:space="preserve">Parlama noktası </w:t>
            </w:r>
          </w:p>
        </w:tc>
        <w:tc>
          <w:tcPr>
            <w:tcW w:w="231"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333" w:type="dxa"/>
            <w:gridSpan w:val="4"/>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jc w:val="right"/>
            </w:pPr>
            <w:r>
              <w:rPr>
                <w:rFonts w:ascii="Verdana" w:eastAsia="Verdana" w:hAnsi="Verdana" w:cs="Verdana"/>
                <w:b/>
                <w:color w:val="000000"/>
                <w:sz w:val="16"/>
              </w:rPr>
              <w:t>0C</w:t>
            </w:r>
          </w:p>
        </w:tc>
        <w:tc>
          <w:tcPr>
            <w:tcW w:w="538"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003" w:type="dxa"/>
            <w:gridSpan w:val="3"/>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jc w:val="right"/>
            </w:pPr>
            <w:r>
              <w:rPr>
                <w:rFonts w:ascii="Verdana" w:eastAsia="Verdana" w:hAnsi="Verdana" w:cs="Verdana"/>
                <w:b/>
                <w:color w:val="000000"/>
                <w:sz w:val="16"/>
              </w:rPr>
              <w:t>56</w:t>
            </w:r>
          </w:p>
        </w:tc>
        <w:tc>
          <w:tcPr>
            <w:tcW w:w="594"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67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jc w:val="right"/>
            </w:pPr>
            <w:r>
              <w:rPr>
                <w:rFonts w:ascii="Verdana" w:eastAsia="Verdana" w:hAnsi="Verdana" w:cs="Verdana"/>
                <w:b/>
                <w:color w:val="000000"/>
                <w:sz w:val="16"/>
              </w:rPr>
              <w:t>En az</w:t>
            </w:r>
          </w:p>
        </w:tc>
        <w:tc>
          <w:tcPr>
            <w:tcW w:w="539"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2429" w:type="dxa"/>
            <w:gridSpan w:val="4"/>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pPr>
            <w:r>
              <w:rPr>
                <w:rFonts w:ascii="Verdana" w:eastAsia="Verdana" w:hAnsi="Verdana" w:cs="Verdana"/>
                <w:b/>
                <w:color w:val="000000"/>
                <w:sz w:val="16"/>
              </w:rPr>
              <w:t xml:space="preserve">TS EN ISO 2719 </w:t>
            </w:r>
          </w:p>
        </w:tc>
      </w:tr>
      <w:tr w:rsidR="003B31A3" w:rsidTr="008E2E3B">
        <w:tc>
          <w:tcPr>
            <w:tcW w:w="1611"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231"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333" w:type="dxa"/>
            <w:gridSpan w:val="4"/>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3B31A3">
            <w:pPr>
              <w:spacing w:after="0" w:line="240" w:lineRule="auto"/>
              <w:jc w:val="right"/>
              <w:rPr>
                <w:rFonts w:ascii="Calibri" w:eastAsia="Calibri" w:hAnsi="Calibri" w:cs="Calibri"/>
              </w:rPr>
            </w:pPr>
          </w:p>
        </w:tc>
        <w:tc>
          <w:tcPr>
            <w:tcW w:w="538"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003" w:type="dxa"/>
            <w:gridSpan w:val="3"/>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3B31A3">
            <w:pPr>
              <w:spacing w:after="0" w:line="240" w:lineRule="auto"/>
              <w:jc w:val="right"/>
              <w:rPr>
                <w:rFonts w:ascii="Calibri" w:eastAsia="Calibri" w:hAnsi="Calibri" w:cs="Calibri"/>
              </w:rPr>
            </w:pPr>
          </w:p>
        </w:tc>
        <w:tc>
          <w:tcPr>
            <w:tcW w:w="594"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67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3B31A3">
            <w:pPr>
              <w:spacing w:after="0" w:line="240" w:lineRule="auto"/>
              <w:jc w:val="right"/>
              <w:rPr>
                <w:rFonts w:ascii="Calibri" w:eastAsia="Calibri" w:hAnsi="Calibri" w:cs="Calibri"/>
              </w:rPr>
            </w:pPr>
          </w:p>
        </w:tc>
        <w:tc>
          <w:tcPr>
            <w:tcW w:w="539"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2429" w:type="dxa"/>
            <w:gridSpan w:val="4"/>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r>
      <w:tr w:rsidR="003B31A3" w:rsidTr="008E2E3B">
        <w:tc>
          <w:tcPr>
            <w:tcW w:w="1600"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3B31A3" w:rsidRDefault="00B31508">
            <w:pPr>
              <w:tabs>
                <w:tab w:val="left" w:pos="1970"/>
              </w:tabs>
              <w:spacing w:after="0" w:line="240" w:lineRule="auto"/>
            </w:pPr>
            <w:r>
              <w:rPr>
                <w:rFonts w:ascii="Verdana" w:eastAsia="Verdana" w:hAnsi="Verdana" w:cs="Verdana"/>
                <w:b/>
                <w:color w:val="000000"/>
                <w:sz w:val="16"/>
              </w:rPr>
              <w:t>Akma noktası</w:t>
            </w:r>
          </w:p>
        </w:tc>
        <w:tc>
          <w:tcPr>
            <w:tcW w:w="1560" w:type="dxa"/>
            <w:gridSpan w:val="6"/>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3B31A3" w:rsidRDefault="00B31508">
            <w:pPr>
              <w:tabs>
                <w:tab w:val="left" w:pos="1970"/>
              </w:tabs>
              <w:spacing w:after="0" w:line="240" w:lineRule="auto"/>
              <w:ind w:left="112"/>
              <w:jc w:val="right"/>
            </w:pPr>
            <w:r>
              <w:rPr>
                <w:rFonts w:ascii="Verdana" w:eastAsia="Verdana" w:hAnsi="Verdana" w:cs="Verdana"/>
                <w:b/>
                <w:color w:val="000000"/>
                <w:sz w:val="16"/>
              </w:rPr>
              <w:t>0C</w:t>
            </w:r>
          </w:p>
        </w:tc>
        <w:tc>
          <w:tcPr>
            <w:tcW w:w="227" w:type="dxa"/>
            <w:gridSpan w:val="2"/>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3B31A3" w:rsidRDefault="003B31A3">
            <w:pPr>
              <w:tabs>
                <w:tab w:val="left" w:pos="1970"/>
              </w:tabs>
              <w:spacing w:after="0" w:line="240" w:lineRule="auto"/>
              <w:rPr>
                <w:rFonts w:ascii="Calibri" w:eastAsia="Calibri" w:hAnsi="Calibri" w:cs="Calibri"/>
              </w:rPr>
            </w:pPr>
          </w:p>
        </w:tc>
        <w:tc>
          <w:tcPr>
            <w:tcW w:w="1649" w:type="dxa"/>
            <w:gridSpan w:val="6"/>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3B31A3" w:rsidRDefault="003B31A3">
            <w:pPr>
              <w:spacing w:after="0" w:line="240" w:lineRule="auto"/>
              <w:jc w:val="right"/>
              <w:rPr>
                <w:rFonts w:ascii="Calibri" w:eastAsia="Calibri" w:hAnsi="Calibri" w:cs="Calibri"/>
              </w:rPr>
            </w:pPr>
          </w:p>
        </w:tc>
        <w:tc>
          <w:tcPr>
            <w:tcW w:w="1179"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31A3" w:rsidRDefault="003B31A3">
            <w:pPr>
              <w:spacing w:after="0" w:line="240" w:lineRule="auto"/>
              <w:jc w:val="right"/>
              <w:rPr>
                <w:rFonts w:ascii="Calibri" w:eastAsia="Calibri" w:hAnsi="Calibri" w:cs="Calibri"/>
              </w:rPr>
            </w:pPr>
          </w:p>
        </w:tc>
        <w:tc>
          <w:tcPr>
            <w:tcW w:w="500" w:type="dxa"/>
            <w:gridSpan w:val="3"/>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3B31A3" w:rsidRDefault="003B31A3">
            <w:pPr>
              <w:spacing w:after="0" w:line="240" w:lineRule="auto"/>
              <w:jc w:val="right"/>
              <w:rPr>
                <w:rFonts w:ascii="Calibri" w:eastAsia="Calibri" w:hAnsi="Calibri" w:cs="Calibri"/>
              </w:rPr>
            </w:pPr>
          </w:p>
        </w:tc>
        <w:tc>
          <w:tcPr>
            <w:tcW w:w="2239" w:type="dxa"/>
            <w:gridSpan w:val="3"/>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3B31A3" w:rsidRDefault="00B31508">
            <w:pPr>
              <w:spacing w:after="0" w:line="240" w:lineRule="auto"/>
              <w:ind w:left="622"/>
              <w:jc w:val="both"/>
            </w:pPr>
            <w:r>
              <w:rPr>
                <w:rFonts w:ascii="Verdana" w:eastAsia="Verdana" w:hAnsi="Verdana" w:cs="Verdana"/>
                <w:b/>
                <w:color w:val="000000"/>
                <w:sz w:val="16"/>
              </w:rPr>
              <w:t>TS 1233 ISO 3016</w:t>
            </w:r>
          </w:p>
        </w:tc>
      </w:tr>
      <w:tr w:rsidR="003B31A3" w:rsidTr="008E2E3B">
        <w:tc>
          <w:tcPr>
            <w:tcW w:w="160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B31508">
            <w:pPr>
              <w:spacing w:after="0" w:line="240" w:lineRule="auto"/>
            </w:pPr>
            <w:r>
              <w:rPr>
                <w:rFonts w:ascii="Verdana" w:eastAsia="Verdana" w:hAnsi="Verdana" w:cs="Verdana"/>
                <w:b/>
                <w:color w:val="000000"/>
                <w:sz w:val="16"/>
              </w:rPr>
              <w:t xml:space="preserve">    Kış (a)</w:t>
            </w:r>
          </w:p>
        </w:tc>
        <w:tc>
          <w:tcPr>
            <w:tcW w:w="681" w:type="dxa"/>
            <w:gridSpan w:val="5"/>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B31508">
            <w:pPr>
              <w:spacing w:after="0" w:line="240" w:lineRule="auto"/>
              <w:ind w:left="112"/>
              <w:jc w:val="right"/>
            </w:pPr>
            <w:r>
              <w:rPr>
                <w:rFonts w:ascii="Verdana" w:eastAsia="Verdana" w:hAnsi="Verdana" w:cs="Verdana"/>
                <w:b/>
                <w:color w:val="000000"/>
                <w:sz w:val="16"/>
              </w:rPr>
              <w:t xml:space="preserve">          </w:t>
            </w:r>
          </w:p>
        </w:tc>
        <w:tc>
          <w:tcPr>
            <w:tcW w:w="87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jc w:val="right"/>
            </w:pPr>
            <w:r>
              <w:rPr>
                <w:rFonts w:ascii="Verdana" w:eastAsia="Verdana" w:hAnsi="Verdana" w:cs="Verdana"/>
                <w:b/>
                <w:color w:val="000000"/>
                <w:sz w:val="16"/>
              </w:rPr>
              <w:t>0C</w:t>
            </w:r>
          </w:p>
        </w:tc>
        <w:tc>
          <w:tcPr>
            <w:tcW w:w="966" w:type="dxa"/>
            <w:gridSpan w:val="5"/>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jc w:val="right"/>
              <w:rPr>
                <w:rFonts w:ascii="Calibri" w:eastAsia="Calibri" w:hAnsi="Calibri" w:cs="Calibri"/>
              </w:rPr>
            </w:pPr>
          </w:p>
        </w:tc>
        <w:tc>
          <w:tcPr>
            <w:tcW w:w="57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jc w:val="right"/>
            </w:pPr>
            <w:r>
              <w:rPr>
                <w:rFonts w:ascii="Verdana" w:eastAsia="Verdana" w:hAnsi="Verdana" w:cs="Verdana"/>
                <w:b/>
                <w:color w:val="000000"/>
                <w:sz w:val="16"/>
              </w:rPr>
              <w:t>-1,1</w:t>
            </w:r>
          </w:p>
        </w:tc>
        <w:tc>
          <w:tcPr>
            <w:tcW w:w="1628" w:type="dxa"/>
            <w:gridSpan w:val="7"/>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B31508">
            <w:pPr>
              <w:spacing w:after="0" w:line="240" w:lineRule="auto"/>
              <w:ind w:left="452"/>
              <w:jc w:val="right"/>
            </w:pPr>
            <w:r>
              <w:rPr>
                <w:rFonts w:ascii="Verdana" w:eastAsia="Verdana" w:hAnsi="Verdana" w:cs="Verdana"/>
                <w:b/>
                <w:color w:val="000000"/>
                <w:sz w:val="16"/>
              </w:rPr>
              <w:t>En çok</w:t>
            </w:r>
          </w:p>
        </w:tc>
        <w:tc>
          <w:tcPr>
            <w:tcW w:w="765"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856"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r>
      <w:tr w:rsidR="003B31A3" w:rsidTr="008E2E3B">
        <w:tc>
          <w:tcPr>
            <w:tcW w:w="160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B31508">
            <w:pPr>
              <w:spacing w:after="0" w:line="240" w:lineRule="auto"/>
            </w:pPr>
            <w:r>
              <w:rPr>
                <w:rFonts w:ascii="Verdana" w:eastAsia="Verdana" w:hAnsi="Verdana" w:cs="Verdana"/>
                <w:b/>
                <w:color w:val="000000"/>
                <w:sz w:val="16"/>
              </w:rPr>
              <w:t xml:space="preserve">     Yaz(b)</w:t>
            </w:r>
          </w:p>
        </w:tc>
        <w:tc>
          <w:tcPr>
            <w:tcW w:w="681" w:type="dxa"/>
            <w:gridSpan w:val="5"/>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B31508">
            <w:pPr>
              <w:spacing w:after="0" w:line="240" w:lineRule="auto"/>
              <w:ind w:left="102"/>
              <w:jc w:val="right"/>
            </w:pPr>
            <w:r>
              <w:rPr>
                <w:rFonts w:ascii="Verdana" w:eastAsia="Verdana" w:hAnsi="Verdana" w:cs="Verdana"/>
                <w:b/>
                <w:color w:val="000000"/>
                <w:sz w:val="16"/>
              </w:rPr>
              <w:t xml:space="preserve"> </w:t>
            </w:r>
          </w:p>
        </w:tc>
        <w:tc>
          <w:tcPr>
            <w:tcW w:w="87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jc w:val="right"/>
            </w:pPr>
            <w:r>
              <w:rPr>
                <w:rFonts w:ascii="Verdana" w:eastAsia="Verdana" w:hAnsi="Verdana" w:cs="Verdana"/>
                <w:b/>
                <w:color w:val="000000"/>
                <w:sz w:val="16"/>
              </w:rPr>
              <w:t>0C</w:t>
            </w:r>
          </w:p>
        </w:tc>
        <w:tc>
          <w:tcPr>
            <w:tcW w:w="966" w:type="dxa"/>
            <w:gridSpan w:val="5"/>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jc w:val="right"/>
              <w:rPr>
                <w:rFonts w:ascii="Calibri" w:eastAsia="Calibri" w:hAnsi="Calibri" w:cs="Calibri"/>
              </w:rPr>
            </w:pPr>
          </w:p>
        </w:tc>
        <w:tc>
          <w:tcPr>
            <w:tcW w:w="57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jc w:val="right"/>
            </w:pPr>
            <w:r>
              <w:rPr>
                <w:rFonts w:ascii="Verdana" w:eastAsia="Verdana" w:hAnsi="Verdana" w:cs="Verdana"/>
                <w:b/>
                <w:color w:val="000000"/>
                <w:sz w:val="16"/>
              </w:rPr>
              <w:t>10</w:t>
            </w:r>
          </w:p>
        </w:tc>
        <w:tc>
          <w:tcPr>
            <w:tcW w:w="1628" w:type="dxa"/>
            <w:gridSpan w:val="7"/>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B31508">
            <w:pPr>
              <w:spacing w:after="0" w:line="240" w:lineRule="auto"/>
              <w:ind w:left="422"/>
              <w:jc w:val="right"/>
            </w:pPr>
            <w:r>
              <w:rPr>
                <w:rFonts w:ascii="Verdana" w:eastAsia="Verdana" w:hAnsi="Verdana" w:cs="Verdana"/>
                <w:b/>
                <w:color w:val="000000"/>
                <w:sz w:val="16"/>
              </w:rPr>
              <w:t>En çok</w:t>
            </w:r>
          </w:p>
        </w:tc>
        <w:tc>
          <w:tcPr>
            <w:tcW w:w="765"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856"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r>
      <w:tr w:rsidR="003B31A3" w:rsidTr="008E2E3B">
        <w:tc>
          <w:tcPr>
            <w:tcW w:w="160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B31508">
            <w:pPr>
              <w:spacing w:after="0" w:line="240" w:lineRule="auto"/>
            </w:pPr>
            <w:r>
              <w:rPr>
                <w:rFonts w:ascii="Verdana" w:eastAsia="Verdana" w:hAnsi="Verdana" w:cs="Verdana"/>
                <w:b/>
                <w:color w:val="000000"/>
                <w:sz w:val="16"/>
              </w:rPr>
              <w:t xml:space="preserve">Vizkozite (100 0C’ta) </w:t>
            </w:r>
          </w:p>
        </w:tc>
        <w:tc>
          <w:tcPr>
            <w:tcW w:w="230"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200" w:line="276" w:lineRule="auto"/>
              <w:rPr>
                <w:rFonts w:ascii="Verdana" w:eastAsia="Verdana" w:hAnsi="Verdana" w:cs="Verdana"/>
                <w:color w:val="000000"/>
                <w:sz w:val="16"/>
              </w:rPr>
            </w:pPr>
          </w:p>
          <w:p w:rsidR="003B31A3" w:rsidRDefault="003B31A3">
            <w:pPr>
              <w:spacing w:after="0" w:line="240" w:lineRule="auto"/>
            </w:pPr>
          </w:p>
        </w:tc>
        <w:tc>
          <w:tcPr>
            <w:tcW w:w="1330" w:type="dxa"/>
            <w:gridSpan w:val="4"/>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jc w:val="right"/>
            </w:pPr>
            <w:r>
              <w:rPr>
                <w:rFonts w:ascii="Verdana" w:eastAsia="Verdana" w:hAnsi="Verdana" w:cs="Verdana"/>
                <w:b/>
                <w:color w:val="000000"/>
                <w:sz w:val="16"/>
              </w:rPr>
              <w:t>cSt</w:t>
            </w:r>
          </w:p>
        </w:tc>
        <w:tc>
          <w:tcPr>
            <w:tcW w:w="538"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007" w:type="dxa"/>
            <w:gridSpan w:val="3"/>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jc w:val="right"/>
            </w:pPr>
            <w:r>
              <w:rPr>
                <w:rFonts w:ascii="Verdana" w:eastAsia="Verdana" w:hAnsi="Verdana" w:cs="Verdana"/>
                <w:b/>
                <w:color w:val="000000"/>
                <w:sz w:val="16"/>
              </w:rPr>
              <w:t>10</w:t>
            </w:r>
          </w:p>
        </w:tc>
        <w:tc>
          <w:tcPr>
            <w:tcW w:w="590"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038" w:type="dxa"/>
            <w:gridSpan w:val="4"/>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jc w:val="right"/>
            </w:pPr>
            <w:r>
              <w:rPr>
                <w:rFonts w:ascii="Verdana" w:eastAsia="Verdana" w:hAnsi="Verdana" w:cs="Verdana"/>
                <w:b/>
                <w:color w:val="000000"/>
                <w:sz w:val="16"/>
              </w:rPr>
              <w:t>En çok</w:t>
            </w:r>
          </w:p>
        </w:tc>
        <w:tc>
          <w:tcPr>
            <w:tcW w:w="765"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856"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pPr>
            <w:r>
              <w:rPr>
                <w:rFonts w:ascii="Verdana" w:eastAsia="Verdana" w:hAnsi="Verdana" w:cs="Verdana"/>
                <w:b/>
                <w:color w:val="000000"/>
                <w:sz w:val="16"/>
              </w:rPr>
              <w:t xml:space="preserve">TS 1451 EN ISO 3104 </w:t>
            </w:r>
          </w:p>
        </w:tc>
      </w:tr>
      <w:tr w:rsidR="003B31A3" w:rsidTr="008E2E3B">
        <w:tc>
          <w:tcPr>
            <w:tcW w:w="1600" w:type="dxa"/>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230" w:type="dxa"/>
            <w:gridSpan w:val="2"/>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330" w:type="dxa"/>
            <w:gridSpan w:val="4"/>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tcPr>
          <w:p w:rsidR="003B31A3" w:rsidRDefault="003B31A3">
            <w:pPr>
              <w:spacing w:after="0" w:line="240" w:lineRule="auto"/>
              <w:jc w:val="right"/>
              <w:rPr>
                <w:rFonts w:ascii="Calibri" w:eastAsia="Calibri" w:hAnsi="Calibri" w:cs="Calibri"/>
              </w:rPr>
            </w:pPr>
          </w:p>
        </w:tc>
        <w:tc>
          <w:tcPr>
            <w:tcW w:w="538" w:type="dxa"/>
            <w:gridSpan w:val="3"/>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007" w:type="dxa"/>
            <w:gridSpan w:val="3"/>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tcPr>
          <w:p w:rsidR="003B31A3" w:rsidRDefault="003B31A3">
            <w:pPr>
              <w:spacing w:after="0" w:line="240" w:lineRule="auto"/>
              <w:jc w:val="right"/>
              <w:rPr>
                <w:rFonts w:ascii="Calibri" w:eastAsia="Calibri" w:hAnsi="Calibri" w:cs="Calibri"/>
              </w:rPr>
            </w:pPr>
          </w:p>
        </w:tc>
        <w:tc>
          <w:tcPr>
            <w:tcW w:w="590" w:type="dxa"/>
            <w:gridSpan w:val="3"/>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038" w:type="dxa"/>
            <w:gridSpan w:val="4"/>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tcPr>
          <w:p w:rsidR="003B31A3" w:rsidRDefault="003B31A3">
            <w:pPr>
              <w:spacing w:after="0" w:line="240" w:lineRule="auto"/>
              <w:jc w:val="right"/>
              <w:rPr>
                <w:rFonts w:ascii="Calibri" w:eastAsia="Calibri" w:hAnsi="Calibri" w:cs="Calibri"/>
              </w:rPr>
            </w:pPr>
          </w:p>
        </w:tc>
        <w:tc>
          <w:tcPr>
            <w:tcW w:w="765" w:type="dxa"/>
            <w:gridSpan w:val="3"/>
            <w:tcBorders>
              <w:top w:val="single" w:sz="4" w:space="0" w:color="000000"/>
              <w:left w:val="single" w:sz="4" w:space="0" w:color="000000"/>
              <w:bottom w:val="single" w:sz="0"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856" w:type="dxa"/>
            <w:gridSpan w:val="2"/>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r>
      <w:tr w:rsidR="003B31A3" w:rsidTr="008E2E3B">
        <w:tc>
          <w:tcPr>
            <w:tcW w:w="160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B31508">
            <w:pPr>
              <w:tabs>
                <w:tab w:val="right" w:pos="2201"/>
              </w:tabs>
              <w:spacing w:after="0" w:line="240" w:lineRule="auto"/>
              <w:jc w:val="both"/>
            </w:pPr>
            <w:r>
              <w:rPr>
                <w:rFonts w:ascii="Verdana" w:eastAsia="Verdana" w:hAnsi="Verdana" w:cs="Verdana"/>
                <w:b/>
                <w:color w:val="000000"/>
                <w:sz w:val="16"/>
              </w:rPr>
              <w:t xml:space="preserve">Kükürt             </w:t>
            </w:r>
          </w:p>
        </w:tc>
        <w:tc>
          <w:tcPr>
            <w:tcW w:w="388" w:type="dxa"/>
            <w:gridSpan w:val="4"/>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tabs>
                <w:tab w:val="right" w:pos="2201"/>
              </w:tabs>
              <w:spacing w:after="0" w:line="240" w:lineRule="auto"/>
              <w:jc w:val="right"/>
              <w:rPr>
                <w:rFonts w:ascii="Calibri" w:eastAsia="Calibri" w:hAnsi="Calibri" w:cs="Calibri"/>
              </w:rPr>
            </w:pPr>
          </w:p>
        </w:tc>
        <w:tc>
          <w:tcPr>
            <w:tcW w:w="1172"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jc w:val="right"/>
            </w:pPr>
            <w:r>
              <w:rPr>
                <w:rFonts w:ascii="Verdana" w:eastAsia="Verdana" w:hAnsi="Verdana" w:cs="Verdana"/>
                <w:b/>
                <w:color w:val="000000"/>
                <w:sz w:val="16"/>
              </w:rPr>
              <w:t>% ağırlık</w:t>
            </w:r>
          </w:p>
        </w:tc>
        <w:tc>
          <w:tcPr>
            <w:tcW w:w="966" w:type="dxa"/>
            <w:gridSpan w:val="5"/>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ind w:firstLine="708"/>
              <w:jc w:val="right"/>
              <w:rPr>
                <w:rFonts w:ascii="Calibri" w:eastAsia="Calibri" w:hAnsi="Calibri" w:cs="Calibri"/>
              </w:rPr>
            </w:pPr>
          </w:p>
        </w:tc>
        <w:tc>
          <w:tcPr>
            <w:tcW w:w="57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jc w:val="right"/>
            </w:pPr>
            <w:r>
              <w:rPr>
                <w:rFonts w:ascii="Verdana" w:eastAsia="Verdana" w:hAnsi="Verdana" w:cs="Verdana"/>
                <w:b/>
                <w:color w:val="000000"/>
                <w:sz w:val="16"/>
              </w:rPr>
              <w:t>0.1-1.0</w:t>
            </w:r>
          </w:p>
        </w:tc>
        <w:tc>
          <w:tcPr>
            <w:tcW w:w="1628" w:type="dxa"/>
            <w:gridSpan w:val="7"/>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jc w:val="right"/>
              <w:rPr>
                <w:rFonts w:ascii="Calibri" w:eastAsia="Calibri" w:hAnsi="Calibri" w:cs="Calibri"/>
              </w:rPr>
            </w:pPr>
          </w:p>
        </w:tc>
        <w:tc>
          <w:tcPr>
            <w:tcW w:w="765" w:type="dxa"/>
            <w:gridSpan w:val="3"/>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jc w:val="both"/>
              <w:rPr>
                <w:rFonts w:ascii="Calibri" w:eastAsia="Calibri" w:hAnsi="Calibri" w:cs="Calibri"/>
              </w:rPr>
            </w:pPr>
          </w:p>
        </w:tc>
        <w:tc>
          <w:tcPr>
            <w:tcW w:w="1856"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jc w:val="both"/>
            </w:pPr>
            <w:r>
              <w:rPr>
                <w:rFonts w:ascii="Verdana" w:eastAsia="Verdana" w:hAnsi="Verdana" w:cs="Verdana"/>
                <w:b/>
                <w:color w:val="000000"/>
                <w:sz w:val="16"/>
              </w:rPr>
              <w:t xml:space="preserve">TS EN ISO 8754 </w:t>
            </w:r>
          </w:p>
        </w:tc>
      </w:tr>
      <w:tr w:rsidR="003B31A3" w:rsidTr="008E2E3B">
        <w:tc>
          <w:tcPr>
            <w:tcW w:w="160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B31508">
            <w:pPr>
              <w:spacing w:after="0" w:line="240" w:lineRule="auto"/>
            </w:pPr>
            <w:r>
              <w:rPr>
                <w:rFonts w:ascii="Verdana" w:eastAsia="Verdana" w:hAnsi="Verdana" w:cs="Verdana"/>
                <w:b/>
                <w:color w:val="000000"/>
                <w:sz w:val="16"/>
              </w:rPr>
              <w:t xml:space="preserve">Kül </w:t>
            </w:r>
          </w:p>
        </w:tc>
        <w:tc>
          <w:tcPr>
            <w:tcW w:w="230"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330" w:type="dxa"/>
            <w:gridSpan w:val="4"/>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jc w:val="right"/>
            </w:pPr>
            <w:r>
              <w:rPr>
                <w:rFonts w:ascii="Verdana" w:eastAsia="Verdana" w:hAnsi="Verdana" w:cs="Verdana"/>
                <w:b/>
                <w:color w:val="000000"/>
                <w:sz w:val="16"/>
              </w:rPr>
              <w:t>% ağırlık</w:t>
            </w:r>
          </w:p>
        </w:tc>
        <w:tc>
          <w:tcPr>
            <w:tcW w:w="538"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007" w:type="dxa"/>
            <w:gridSpan w:val="3"/>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jc w:val="right"/>
            </w:pPr>
            <w:r>
              <w:rPr>
                <w:rFonts w:ascii="Verdana" w:eastAsia="Verdana" w:hAnsi="Verdana" w:cs="Verdana"/>
                <w:b/>
                <w:color w:val="000000"/>
                <w:sz w:val="16"/>
              </w:rPr>
              <w:t>0,1</w:t>
            </w:r>
          </w:p>
        </w:tc>
        <w:tc>
          <w:tcPr>
            <w:tcW w:w="590"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038" w:type="dxa"/>
            <w:gridSpan w:val="4"/>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jc w:val="right"/>
            </w:pPr>
            <w:r>
              <w:rPr>
                <w:rFonts w:ascii="Verdana" w:eastAsia="Verdana" w:hAnsi="Verdana" w:cs="Verdana"/>
                <w:b/>
                <w:color w:val="000000"/>
                <w:sz w:val="16"/>
              </w:rPr>
              <w:t>En çok</w:t>
            </w:r>
          </w:p>
        </w:tc>
        <w:tc>
          <w:tcPr>
            <w:tcW w:w="765"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856"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pPr>
            <w:r>
              <w:rPr>
                <w:rFonts w:ascii="Verdana" w:eastAsia="Verdana" w:hAnsi="Verdana" w:cs="Verdana"/>
                <w:b/>
                <w:color w:val="000000"/>
                <w:sz w:val="16"/>
              </w:rPr>
              <w:t xml:space="preserve">TS EN ISO 6245 </w:t>
            </w:r>
          </w:p>
        </w:tc>
      </w:tr>
      <w:tr w:rsidR="003B31A3" w:rsidTr="008E2E3B">
        <w:tc>
          <w:tcPr>
            <w:tcW w:w="160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B31508">
            <w:pPr>
              <w:spacing w:after="0" w:line="240" w:lineRule="auto"/>
            </w:pPr>
            <w:r>
              <w:rPr>
                <w:rFonts w:ascii="Verdana" w:eastAsia="Verdana" w:hAnsi="Verdana" w:cs="Verdana"/>
                <w:b/>
                <w:color w:val="000000"/>
                <w:sz w:val="16"/>
              </w:rPr>
              <w:t xml:space="preserve">Su </w:t>
            </w:r>
          </w:p>
        </w:tc>
        <w:tc>
          <w:tcPr>
            <w:tcW w:w="230"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330" w:type="dxa"/>
            <w:gridSpan w:val="4"/>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jc w:val="right"/>
            </w:pPr>
            <w:r>
              <w:rPr>
                <w:rFonts w:ascii="Verdana" w:eastAsia="Verdana" w:hAnsi="Verdana" w:cs="Verdana"/>
                <w:b/>
                <w:color w:val="000000"/>
                <w:sz w:val="16"/>
              </w:rPr>
              <w:t>% hacim</w:t>
            </w:r>
          </w:p>
        </w:tc>
        <w:tc>
          <w:tcPr>
            <w:tcW w:w="538"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007" w:type="dxa"/>
            <w:gridSpan w:val="3"/>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jc w:val="right"/>
            </w:pPr>
            <w:r>
              <w:rPr>
                <w:rFonts w:ascii="Verdana" w:eastAsia="Verdana" w:hAnsi="Verdana" w:cs="Verdana"/>
                <w:b/>
                <w:color w:val="000000"/>
                <w:sz w:val="16"/>
              </w:rPr>
              <w:t>0,5</w:t>
            </w:r>
          </w:p>
        </w:tc>
        <w:tc>
          <w:tcPr>
            <w:tcW w:w="590"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038" w:type="dxa"/>
            <w:gridSpan w:val="4"/>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jc w:val="right"/>
            </w:pPr>
            <w:r>
              <w:rPr>
                <w:rFonts w:ascii="Verdana" w:eastAsia="Verdana" w:hAnsi="Verdana" w:cs="Verdana"/>
                <w:b/>
                <w:color w:val="000000"/>
                <w:sz w:val="16"/>
              </w:rPr>
              <w:t>En çok</w:t>
            </w:r>
          </w:p>
        </w:tc>
        <w:tc>
          <w:tcPr>
            <w:tcW w:w="765"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856"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pPr>
            <w:r>
              <w:rPr>
                <w:rFonts w:ascii="Verdana" w:eastAsia="Verdana" w:hAnsi="Verdana" w:cs="Verdana"/>
                <w:b/>
                <w:color w:val="000000"/>
                <w:sz w:val="16"/>
              </w:rPr>
              <w:t xml:space="preserve">TS 124 EN 1428 </w:t>
            </w:r>
          </w:p>
        </w:tc>
      </w:tr>
      <w:tr w:rsidR="003B31A3" w:rsidTr="008E2E3B">
        <w:tc>
          <w:tcPr>
            <w:tcW w:w="160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B31508">
            <w:pPr>
              <w:spacing w:after="0" w:line="240" w:lineRule="auto"/>
            </w:pPr>
            <w:r>
              <w:rPr>
                <w:rFonts w:ascii="Verdana" w:eastAsia="Verdana" w:hAnsi="Verdana" w:cs="Verdana"/>
                <w:b/>
                <w:color w:val="000000"/>
                <w:sz w:val="16"/>
              </w:rPr>
              <w:t xml:space="preserve">Toplam tortu </w:t>
            </w:r>
          </w:p>
        </w:tc>
        <w:tc>
          <w:tcPr>
            <w:tcW w:w="230"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330" w:type="dxa"/>
            <w:gridSpan w:val="4"/>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jc w:val="right"/>
            </w:pPr>
            <w:r>
              <w:rPr>
                <w:rFonts w:ascii="Verdana" w:eastAsia="Verdana" w:hAnsi="Verdana" w:cs="Verdana"/>
                <w:b/>
                <w:color w:val="000000"/>
                <w:sz w:val="16"/>
              </w:rPr>
              <w:t>% ağırlık</w:t>
            </w:r>
          </w:p>
        </w:tc>
        <w:tc>
          <w:tcPr>
            <w:tcW w:w="538"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007" w:type="dxa"/>
            <w:gridSpan w:val="3"/>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jc w:val="right"/>
            </w:pPr>
            <w:r>
              <w:rPr>
                <w:rFonts w:ascii="Verdana" w:eastAsia="Verdana" w:hAnsi="Verdana" w:cs="Verdana"/>
                <w:b/>
                <w:color w:val="000000"/>
                <w:sz w:val="16"/>
              </w:rPr>
              <w:t>0,15</w:t>
            </w:r>
          </w:p>
        </w:tc>
        <w:tc>
          <w:tcPr>
            <w:tcW w:w="590"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038" w:type="dxa"/>
            <w:gridSpan w:val="4"/>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jc w:val="right"/>
            </w:pPr>
            <w:r>
              <w:rPr>
                <w:rFonts w:ascii="Verdana" w:eastAsia="Verdana" w:hAnsi="Verdana" w:cs="Verdana"/>
                <w:b/>
                <w:color w:val="000000"/>
                <w:sz w:val="16"/>
              </w:rPr>
              <w:t>En çok</w:t>
            </w:r>
          </w:p>
        </w:tc>
        <w:tc>
          <w:tcPr>
            <w:tcW w:w="765"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3B31A3" w:rsidRDefault="003B31A3">
            <w:pPr>
              <w:spacing w:after="0" w:line="240" w:lineRule="auto"/>
              <w:rPr>
                <w:rFonts w:ascii="Calibri" w:eastAsia="Calibri" w:hAnsi="Calibri" w:cs="Calibri"/>
              </w:rPr>
            </w:pPr>
          </w:p>
        </w:tc>
        <w:tc>
          <w:tcPr>
            <w:tcW w:w="1856"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pPr>
            <w:r>
              <w:rPr>
                <w:rFonts w:ascii="Verdana" w:eastAsia="Verdana" w:hAnsi="Verdana" w:cs="Verdana"/>
                <w:b/>
                <w:color w:val="000000"/>
                <w:sz w:val="16"/>
              </w:rPr>
              <w:t xml:space="preserve">TS ISO 10307-2 </w:t>
            </w:r>
          </w:p>
        </w:tc>
      </w:tr>
      <w:tr w:rsidR="003B31A3" w:rsidTr="008E2E3B">
        <w:trPr>
          <w:gridAfter w:val="1"/>
          <w:wAfter w:w="755" w:type="dxa"/>
        </w:trPr>
        <w:tc>
          <w:tcPr>
            <w:tcW w:w="8199" w:type="dxa"/>
            <w:gridSpan w:val="24"/>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31A3" w:rsidRDefault="00B31508">
            <w:pPr>
              <w:spacing w:after="0" w:line="240" w:lineRule="auto"/>
            </w:pPr>
            <w:r>
              <w:rPr>
                <w:rFonts w:ascii="Verdana" w:eastAsia="Verdana" w:hAnsi="Verdana" w:cs="Verdana"/>
                <w:b/>
                <w:color w:val="000000"/>
                <w:sz w:val="16"/>
              </w:rPr>
              <w:t xml:space="preserve">(a) 1 Ekim -31 Mart ( /- 15 gün) </w:t>
            </w:r>
          </w:p>
        </w:tc>
      </w:tr>
      <w:tr w:rsidR="003B31A3" w:rsidTr="008E2E3B">
        <w:trPr>
          <w:gridAfter w:val="1"/>
          <w:wAfter w:w="755" w:type="dxa"/>
        </w:trPr>
        <w:tc>
          <w:tcPr>
            <w:tcW w:w="8199" w:type="dxa"/>
            <w:gridSpan w:val="2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31A3" w:rsidRDefault="00B31508">
            <w:pPr>
              <w:spacing w:after="0" w:line="240" w:lineRule="auto"/>
            </w:pPr>
            <w:r>
              <w:rPr>
                <w:rFonts w:ascii="Verdana" w:eastAsia="Verdana" w:hAnsi="Verdana" w:cs="Verdana"/>
                <w:b/>
                <w:color w:val="000000"/>
                <w:sz w:val="16"/>
              </w:rPr>
              <w:t xml:space="preserve">(b) 1 Nisan-30 Eylül ( /- 15 gün) </w:t>
            </w:r>
          </w:p>
        </w:tc>
      </w:tr>
      <w:tr w:rsidR="003B31A3" w:rsidTr="008E2E3B">
        <w:trPr>
          <w:gridAfter w:val="1"/>
          <w:wAfter w:w="755" w:type="dxa"/>
        </w:trPr>
        <w:tc>
          <w:tcPr>
            <w:tcW w:w="8199" w:type="dxa"/>
            <w:gridSpan w:val="2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31A3" w:rsidRDefault="00B31508">
            <w:pPr>
              <w:spacing w:after="0" w:line="240" w:lineRule="auto"/>
            </w:pPr>
            <w:r>
              <w:rPr>
                <w:rFonts w:ascii="Verdana" w:eastAsia="Verdana" w:hAnsi="Verdana" w:cs="Verdana"/>
                <w:b/>
                <w:color w:val="000000"/>
                <w:sz w:val="16"/>
              </w:rPr>
              <w:t xml:space="preserve">(*) Bu ürün İzmit ve İzmir Rafinerilerinde üretilmektedir. </w:t>
            </w:r>
          </w:p>
        </w:tc>
      </w:tr>
      <w:tr w:rsidR="003B31A3" w:rsidTr="008E2E3B">
        <w:trPr>
          <w:gridAfter w:val="1"/>
          <w:wAfter w:w="755" w:type="dxa"/>
        </w:trPr>
        <w:tc>
          <w:tcPr>
            <w:tcW w:w="8199" w:type="dxa"/>
            <w:gridSpan w:val="2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B31A3" w:rsidRDefault="00B31508">
            <w:pPr>
              <w:spacing w:after="0" w:line="240" w:lineRule="auto"/>
            </w:pPr>
            <w:r>
              <w:rPr>
                <w:rFonts w:ascii="Verdana" w:eastAsia="Verdana" w:hAnsi="Verdana" w:cs="Verdana"/>
                <w:b/>
                <w:color w:val="000000"/>
                <w:sz w:val="16"/>
              </w:rPr>
              <w:t xml:space="preserve">Bu ürün Enerji Piyasası Düzenleme Kurulu’nca yayınlanan Teknik Düzenleme Tebliği’ne ve 14 Haziran 2012 tarihli TS 2177 Fuel Oil standardına uygundur. </w:t>
            </w:r>
          </w:p>
        </w:tc>
      </w:tr>
    </w:tbl>
    <w:p w:rsidR="003B31A3" w:rsidRDefault="00B31508">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Kal-yak TS-2177 ‘da verilen diğer istek ve özelliklere uygun olması zorunludur. </w:t>
      </w:r>
    </w:p>
    <w:p w:rsidR="003B31A3" w:rsidRDefault="00B31508">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Bundan sonra Petrol Ürünleri ile ilgili; TSE Standartlarında meydana gelecek değişiklikler ve EPDK’nın uygulamada yapacağı düzenlemeler ile uyulması gerekli yasal zorunluluklara uyulacaktır. </w:t>
      </w:r>
    </w:p>
    <w:p w:rsidR="003B31A3" w:rsidRDefault="003B31A3">
      <w:pPr>
        <w:spacing w:after="0" w:line="240" w:lineRule="auto"/>
        <w:jc w:val="both"/>
        <w:rPr>
          <w:rFonts w:ascii="Times New Roman" w:eastAsia="Times New Roman" w:hAnsi="Times New Roman" w:cs="Times New Roman"/>
          <w:color w:val="000000"/>
          <w:sz w:val="24"/>
        </w:rPr>
      </w:pPr>
    </w:p>
    <w:p w:rsidR="00A3154E" w:rsidRDefault="00A3154E">
      <w:pPr>
        <w:spacing w:after="0" w:line="240" w:lineRule="auto"/>
        <w:rPr>
          <w:rFonts w:ascii="Times New Roman" w:eastAsia="Times New Roman" w:hAnsi="Times New Roman" w:cs="Times New Roman"/>
          <w:b/>
          <w:color w:val="000000"/>
          <w:sz w:val="24"/>
        </w:rPr>
      </w:pPr>
    </w:p>
    <w:p w:rsidR="00A3154E" w:rsidRDefault="00A3154E">
      <w:pPr>
        <w:spacing w:after="0" w:line="240" w:lineRule="auto"/>
        <w:rPr>
          <w:rFonts w:ascii="Times New Roman" w:eastAsia="Times New Roman" w:hAnsi="Times New Roman" w:cs="Times New Roman"/>
          <w:b/>
          <w:color w:val="000000"/>
          <w:sz w:val="24"/>
        </w:rPr>
      </w:pPr>
    </w:p>
    <w:p w:rsidR="00A3154E" w:rsidRDefault="00A3154E">
      <w:pPr>
        <w:spacing w:after="0" w:line="240" w:lineRule="auto"/>
        <w:rPr>
          <w:rFonts w:ascii="Times New Roman" w:eastAsia="Times New Roman" w:hAnsi="Times New Roman" w:cs="Times New Roman"/>
          <w:b/>
          <w:color w:val="000000"/>
          <w:sz w:val="24"/>
        </w:rPr>
      </w:pPr>
    </w:p>
    <w:p w:rsidR="00A3154E" w:rsidRDefault="00A3154E">
      <w:pPr>
        <w:spacing w:after="0" w:line="240" w:lineRule="auto"/>
        <w:rPr>
          <w:rFonts w:ascii="Times New Roman" w:eastAsia="Times New Roman" w:hAnsi="Times New Roman" w:cs="Times New Roman"/>
          <w:b/>
          <w:color w:val="000000"/>
          <w:sz w:val="24"/>
        </w:rPr>
      </w:pPr>
    </w:p>
    <w:p w:rsidR="00A3154E" w:rsidRDefault="00A3154E">
      <w:pPr>
        <w:spacing w:after="0" w:line="240" w:lineRule="auto"/>
        <w:rPr>
          <w:rFonts w:ascii="Times New Roman" w:eastAsia="Times New Roman" w:hAnsi="Times New Roman" w:cs="Times New Roman"/>
          <w:b/>
          <w:color w:val="000000"/>
          <w:sz w:val="24"/>
        </w:rPr>
      </w:pPr>
    </w:p>
    <w:p w:rsidR="003B31A3" w:rsidRDefault="00B31508">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 xml:space="preserve">3-TESLİMAT: </w:t>
      </w:r>
    </w:p>
    <w:p w:rsidR="003B31A3" w:rsidRDefault="003B31A3">
      <w:pPr>
        <w:spacing w:after="0" w:line="240" w:lineRule="auto"/>
        <w:rPr>
          <w:rFonts w:ascii="Calibri" w:eastAsia="Calibri" w:hAnsi="Calibri" w:cs="Calibri"/>
          <w:color w:val="000000"/>
          <w:sz w:val="23"/>
        </w:rPr>
      </w:pPr>
    </w:p>
    <w:p w:rsidR="003B31A3" w:rsidRDefault="00B31508">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3.1- YÜKLENİCİ Tankeri ile Yapılan Teslimatlar: </w:t>
      </w:r>
    </w:p>
    <w:p w:rsidR="003B31A3" w:rsidRDefault="003B31A3">
      <w:pPr>
        <w:spacing w:after="0" w:line="240" w:lineRule="auto"/>
        <w:rPr>
          <w:rFonts w:ascii="Times New Roman" w:eastAsia="Times New Roman" w:hAnsi="Times New Roman" w:cs="Times New Roman"/>
          <w:color w:val="000000"/>
          <w:sz w:val="24"/>
        </w:rPr>
      </w:pPr>
    </w:p>
    <w:p w:rsidR="003B31A3" w:rsidRDefault="00B31508">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3.2- </w:t>
      </w:r>
      <w:r>
        <w:rPr>
          <w:rFonts w:ascii="Times New Roman" w:eastAsia="Times New Roman" w:hAnsi="Times New Roman" w:cs="Times New Roman"/>
          <w:color w:val="000000"/>
          <w:sz w:val="24"/>
        </w:rPr>
        <w:t xml:space="preserve">YÜKLENİCİ, İDARE’ nin teslimat yerlerindeki tankların yerleşim durumlarını (yeraltı-yerüstü ) dikkate alarak uygun teçhizat ile donatılmış tankerlerle malın ikmalini yapacaktır. </w:t>
      </w:r>
    </w:p>
    <w:p w:rsidR="003B31A3" w:rsidRDefault="003B31A3">
      <w:pPr>
        <w:spacing w:after="0" w:line="240" w:lineRule="auto"/>
        <w:jc w:val="both"/>
        <w:rPr>
          <w:rFonts w:ascii="Calibri" w:eastAsia="Calibri" w:hAnsi="Calibri" w:cs="Calibri"/>
          <w:color w:val="000000"/>
          <w:sz w:val="23"/>
        </w:rPr>
      </w:pPr>
    </w:p>
    <w:p w:rsidR="003B31A3" w:rsidRDefault="00B315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3.3- </w:t>
      </w:r>
      <w:r>
        <w:rPr>
          <w:rFonts w:ascii="Times New Roman" w:eastAsia="Times New Roman" w:hAnsi="Times New Roman" w:cs="Times New Roman"/>
          <w:color w:val="000000"/>
          <w:sz w:val="24"/>
        </w:rPr>
        <w:t xml:space="preserve">YÜKLENİCİ, malın ikmalini yapan tankerlerin pompa ve sayaçlarının, yetkili Kurumlarca kalibrasyonlarının yapılmış olduğuna dair belgeyi araçta bulunduracaktır. Her teslimatta söz </w:t>
      </w:r>
      <w:r>
        <w:rPr>
          <w:rFonts w:ascii="Times New Roman" w:eastAsia="Times New Roman" w:hAnsi="Times New Roman" w:cs="Times New Roman"/>
          <w:sz w:val="24"/>
        </w:rPr>
        <w:t xml:space="preserve">konusu belgenin bir sureti İDARE’ ye verilecektir. Bu belge araçta bulunmaz ise veya belgenin geçerlilik süresi dolmuş ise aracın getirdiği mal teslim alınmayacaktır. İDARE dilerse tankerlerdeki ve depo tesislerindeki pompa ve sayaçların kalibrasyonunu kontrol ettirebilecektir. Bu işle ilgili tüm giderler YÜKLENİCİ’ye ait olacaktır. </w:t>
      </w:r>
    </w:p>
    <w:p w:rsidR="003B31A3" w:rsidRDefault="003B31A3">
      <w:pPr>
        <w:spacing w:after="0" w:line="240" w:lineRule="auto"/>
        <w:jc w:val="both"/>
        <w:rPr>
          <w:rFonts w:ascii="Calibri" w:eastAsia="Calibri" w:hAnsi="Calibri" w:cs="Calibri"/>
          <w:sz w:val="23"/>
        </w:rPr>
      </w:pPr>
    </w:p>
    <w:p w:rsidR="003B31A3" w:rsidRDefault="00B315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3.4- </w:t>
      </w:r>
      <w:r>
        <w:rPr>
          <w:rFonts w:ascii="Times New Roman" w:eastAsia="Times New Roman" w:hAnsi="Times New Roman" w:cs="Times New Roman"/>
          <w:sz w:val="24"/>
        </w:rPr>
        <w:t>İhtiyaç mahallerine mal teslimatları İDARE’nin belirleyeceği zamanlarda ve belirlediği miktarlarda yapılacak olup; YÜKLENİCİ önceden haber vermeksizin ikmal yapmayacaktır.</w:t>
      </w:r>
    </w:p>
    <w:p w:rsidR="003B31A3" w:rsidRDefault="00B31508">
      <w:pPr>
        <w:spacing w:after="0" w:line="240" w:lineRule="auto"/>
        <w:jc w:val="both"/>
        <w:rPr>
          <w:rFonts w:ascii="Calibri" w:eastAsia="Calibri" w:hAnsi="Calibri" w:cs="Calibri"/>
          <w:sz w:val="23"/>
        </w:rPr>
      </w:pPr>
      <w:r>
        <w:rPr>
          <w:rFonts w:ascii="Times New Roman" w:eastAsia="Times New Roman" w:hAnsi="Times New Roman" w:cs="Times New Roman"/>
          <w:sz w:val="24"/>
        </w:rPr>
        <w:t xml:space="preserve"> </w:t>
      </w:r>
    </w:p>
    <w:p w:rsidR="003B31A3" w:rsidRDefault="00B315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3.5</w:t>
      </w:r>
      <w:r>
        <w:rPr>
          <w:rFonts w:ascii="Times New Roman" w:eastAsia="Times New Roman" w:hAnsi="Times New Roman" w:cs="Times New Roman"/>
          <w:sz w:val="24"/>
        </w:rPr>
        <w:t xml:space="preserve">- YÜKLENİCİ, depolama kapasitesine göre, İDARE birimlerinin ihtiyaçlarını (Kalorifer Yakıtı) İDARE’nin vereceği yazılı talimatta belirtilen miktarlarda yapacaktır. Bu ihtiyaçlar herhangi bir nedenle 72 saat içinde karşılanmadığı takdirde İDARE tarafından şartname hükümlerine bağlı kalınmaksızın diğer akaryakıt bayilerinden YÜKLENİCİ namı hesabına mal alımı yapılır. Bu takdirde meydana gelebilecek fiyat farkı da YÜKLENİCİ'den tahsil edilir. </w:t>
      </w:r>
    </w:p>
    <w:p w:rsidR="003B31A3" w:rsidRDefault="003B31A3">
      <w:pPr>
        <w:spacing w:after="0" w:line="240" w:lineRule="auto"/>
        <w:jc w:val="both"/>
        <w:rPr>
          <w:rFonts w:ascii="Times New Roman" w:eastAsia="Times New Roman" w:hAnsi="Times New Roman" w:cs="Times New Roman"/>
          <w:sz w:val="24"/>
        </w:rPr>
      </w:pPr>
    </w:p>
    <w:p w:rsidR="003B31A3" w:rsidRDefault="00B315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3.6- </w:t>
      </w:r>
      <w:r>
        <w:rPr>
          <w:rFonts w:ascii="Times New Roman" w:eastAsia="Times New Roman" w:hAnsi="Times New Roman" w:cs="Times New Roman"/>
          <w:sz w:val="24"/>
        </w:rPr>
        <w:t xml:space="preserve">YÜKLENİCİ tankeri ile yapılan her türlü alımlarda tankerlerin doldurulmasını müteakip akaryakıt tanker kapakları ile vanalarında bir daha kullanılması olanaksız mühürler kullanılacaktır. Mal teslim edilirken mühürler bozulmamış orijinal olacaktır. </w:t>
      </w:r>
    </w:p>
    <w:p w:rsidR="003B31A3" w:rsidRDefault="003B31A3">
      <w:pPr>
        <w:spacing w:after="0" w:line="240" w:lineRule="auto"/>
        <w:jc w:val="both"/>
        <w:rPr>
          <w:rFonts w:ascii="Calibri" w:eastAsia="Calibri" w:hAnsi="Calibri" w:cs="Calibri"/>
          <w:sz w:val="23"/>
        </w:rPr>
      </w:pPr>
    </w:p>
    <w:p w:rsidR="003B31A3" w:rsidRDefault="00B315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3.7- </w:t>
      </w:r>
      <w:r>
        <w:rPr>
          <w:rFonts w:ascii="Times New Roman" w:eastAsia="Times New Roman" w:hAnsi="Times New Roman" w:cs="Times New Roman"/>
          <w:sz w:val="24"/>
        </w:rPr>
        <w:t>YÜKLENİCİ tankeri ile İDARE’ye yapılacak teslimatlarda tankerler İDARE'nin en az bir elemanı gözetiminde tartı makbuzu verebilen en az iki</w:t>
      </w:r>
      <w:r w:rsidR="00A3154E">
        <w:rPr>
          <w:rFonts w:ascii="Times New Roman" w:eastAsia="Times New Roman" w:hAnsi="Times New Roman" w:cs="Times New Roman"/>
          <w:sz w:val="24"/>
        </w:rPr>
        <w:t xml:space="preserve"> (2)</w:t>
      </w:r>
      <w:r>
        <w:rPr>
          <w:rFonts w:ascii="Times New Roman" w:eastAsia="Times New Roman" w:hAnsi="Times New Roman" w:cs="Times New Roman"/>
          <w:sz w:val="24"/>
        </w:rPr>
        <w:t xml:space="preserve"> kantarda (Havalimanına yakın mesafedeki kantarlar tercih edilerek) tartılacaktır. Tartı işleminde meydana gelecek giderler YÜKLENİCİ'ye ait olacaktır. </w:t>
      </w:r>
    </w:p>
    <w:p w:rsidR="003B31A3" w:rsidRDefault="003B31A3">
      <w:pPr>
        <w:spacing w:after="0" w:line="240" w:lineRule="auto"/>
        <w:rPr>
          <w:rFonts w:ascii="Times New Roman" w:eastAsia="Times New Roman" w:hAnsi="Times New Roman" w:cs="Times New Roman"/>
          <w:sz w:val="24"/>
        </w:rPr>
      </w:pPr>
    </w:p>
    <w:p w:rsidR="003B31A3" w:rsidRDefault="00B31508">
      <w:pPr>
        <w:spacing w:after="0" w:line="240" w:lineRule="auto"/>
        <w:jc w:val="both"/>
        <w:rPr>
          <w:rFonts w:ascii="Calibri" w:eastAsia="Calibri" w:hAnsi="Calibri" w:cs="Calibri"/>
          <w:sz w:val="23"/>
        </w:rPr>
      </w:pPr>
      <w:r>
        <w:rPr>
          <w:rFonts w:ascii="Times New Roman" w:eastAsia="Times New Roman" w:hAnsi="Times New Roman" w:cs="Times New Roman"/>
          <w:b/>
          <w:sz w:val="24"/>
        </w:rPr>
        <w:t xml:space="preserve">3.8- </w:t>
      </w:r>
      <w:r>
        <w:rPr>
          <w:rFonts w:ascii="Times New Roman" w:eastAsia="Times New Roman" w:hAnsi="Times New Roman" w:cs="Times New Roman"/>
          <w:sz w:val="24"/>
        </w:rPr>
        <w:t xml:space="preserve">Tanker dolu ve boş olarak tartılarak malın öncelikle kilogram cinsinden miktarı daha sonra faturada belirtilen (Rafineri tarafından belirlenen) kesafete bölünerek litre cinsinden miktarı bulunur. Ödemelerde elde edilen miktar sevk pusulasıyla karşılaştırılarak litre cinsinden küçük olanı esas alınır. Faturada kesafet belirtilmemiş ise 23.02.1998 Gün ve 98/10745 sayılı kararname gereği YOĞUNLUK (Kesafet) oranlarına göre hesaplanır; </w:t>
      </w:r>
    </w:p>
    <w:p w:rsidR="003B31A3" w:rsidRDefault="00B3150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B31A3" w:rsidRDefault="00B3150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Kalorifer Yakıtı (Kükürt Oranı %0.1'i geçen ancak %1'i geçmeyenler) : 0.930 </w:t>
      </w:r>
    </w:p>
    <w:p w:rsidR="003B31A3" w:rsidRDefault="003B31A3">
      <w:pPr>
        <w:spacing w:after="0" w:line="240" w:lineRule="auto"/>
        <w:rPr>
          <w:rFonts w:ascii="Calibri" w:eastAsia="Calibri" w:hAnsi="Calibri" w:cs="Calibri"/>
          <w:sz w:val="23"/>
        </w:rPr>
      </w:pPr>
    </w:p>
    <w:p w:rsidR="003B31A3" w:rsidRDefault="00B3150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3.9- </w:t>
      </w:r>
      <w:r>
        <w:rPr>
          <w:rFonts w:ascii="Times New Roman" w:eastAsia="Times New Roman" w:hAnsi="Times New Roman" w:cs="Times New Roman"/>
          <w:sz w:val="24"/>
        </w:rPr>
        <w:t xml:space="preserve">Her türlü nakliye, yükleme, boşaltma, tartı ve istif etme masrafları YÜKLENİCİ’ye aittir. </w:t>
      </w:r>
    </w:p>
    <w:p w:rsidR="003B31A3" w:rsidRDefault="003B31A3">
      <w:pPr>
        <w:spacing w:after="0" w:line="240" w:lineRule="auto"/>
        <w:rPr>
          <w:rFonts w:ascii="Times New Roman" w:eastAsia="Times New Roman" w:hAnsi="Times New Roman" w:cs="Times New Roman"/>
          <w:sz w:val="24"/>
        </w:rPr>
      </w:pPr>
    </w:p>
    <w:p w:rsidR="00076C28" w:rsidRDefault="00076C28">
      <w:pPr>
        <w:spacing w:after="0" w:line="240" w:lineRule="auto"/>
        <w:rPr>
          <w:rFonts w:ascii="Times New Roman" w:eastAsia="Times New Roman" w:hAnsi="Times New Roman" w:cs="Times New Roman"/>
          <w:b/>
          <w:sz w:val="24"/>
        </w:rPr>
      </w:pPr>
    </w:p>
    <w:p w:rsidR="00076C28" w:rsidRDefault="00076C28">
      <w:pPr>
        <w:spacing w:after="0" w:line="240" w:lineRule="auto"/>
        <w:rPr>
          <w:rFonts w:ascii="Times New Roman" w:eastAsia="Times New Roman" w:hAnsi="Times New Roman" w:cs="Times New Roman"/>
          <w:b/>
          <w:sz w:val="24"/>
        </w:rPr>
      </w:pPr>
    </w:p>
    <w:p w:rsidR="00076C28" w:rsidRDefault="00076C28">
      <w:pPr>
        <w:spacing w:after="0" w:line="240" w:lineRule="auto"/>
        <w:rPr>
          <w:rFonts w:ascii="Times New Roman" w:eastAsia="Times New Roman" w:hAnsi="Times New Roman" w:cs="Times New Roman"/>
          <w:b/>
          <w:sz w:val="24"/>
        </w:rPr>
      </w:pPr>
    </w:p>
    <w:p w:rsidR="00076C28" w:rsidRDefault="00076C28">
      <w:pPr>
        <w:spacing w:after="0" w:line="240" w:lineRule="auto"/>
        <w:rPr>
          <w:rFonts w:ascii="Times New Roman" w:eastAsia="Times New Roman" w:hAnsi="Times New Roman" w:cs="Times New Roman"/>
          <w:b/>
          <w:sz w:val="24"/>
        </w:rPr>
      </w:pPr>
    </w:p>
    <w:p w:rsidR="00A3154E" w:rsidRDefault="00A3154E">
      <w:pPr>
        <w:spacing w:after="0" w:line="240" w:lineRule="auto"/>
        <w:rPr>
          <w:rFonts w:ascii="Times New Roman" w:eastAsia="Times New Roman" w:hAnsi="Times New Roman" w:cs="Times New Roman"/>
          <w:b/>
          <w:sz w:val="24"/>
        </w:rPr>
      </w:pPr>
    </w:p>
    <w:p w:rsidR="00A3154E" w:rsidRDefault="00A3154E">
      <w:pPr>
        <w:spacing w:after="0" w:line="240" w:lineRule="auto"/>
        <w:rPr>
          <w:rFonts w:ascii="Times New Roman" w:eastAsia="Times New Roman" w:hAnsi="Times New Roman" w:cs="Times New Roman"/>
          <w:b/>
          <w:sz w:val="24"/>
        </w:rPr>
      </w:pPr>
    </w:p>
    <w:p w:rsidR="00A3154E" w:rsidRDefault="00A3154E">
      <w:pPr>
        <w:spacing w:after="0" w:line="240" w:lineRule="auto"/>
        <w:rPr>
          <w:rFonts w:ascii="Times New Roman" w:eastAsia="Times New Roman" w:hAnsi="Times New Roman" w:cs="Times New Roman"/>
          <w:b/>
          <w:sz w:val="24"/>
        </w:rPr>
      </w:pPr>
    </w:p>
    <w:p w:rsidR="00A3154E" w:rsidRDefault="00A3154E">
      <w:pPr>
        <w:spacing w:after="0" w:line="240" w:lineRule="auto"/>
        <w:rPr>
          <w:rFonts w:ascii="Times New Roman" w:eastAsia="Times New Roman" w:hAnsi="Times New Roman" w:cs="Times New Roman"/>
          <w:b/>
          <w:sz w:val="24"/>
        </w:rPr>
      </w:pPr>
    </w:p>
    <w:p w:rsidR="003B31A3" w:rsidRDefault="00B3150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4- MUAYENE VE KONTROL : </w:t>
      </w:r>
    </w:p>
    <w:p w:rsidR="003B31A3" w:rsidRDefault="003B31A3">
      <w:pPr>
        <w:spacing w:after="0" w:line="240" w:lineRule="auto"/>
        <w:rPr>
          <w:rFonts w:ascii="Calibri" w:eastAsia="Calibri" w:hAnsi="Calibri" w:cs="Calibri"/>
          <w:sz w:val="23"/>
        </w:rPr>
      </w:pPr>
    </w:p>
    <w:p w:rsidR="003B31A3" w:rsidRDefault="00B315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4.1- </w:t>
      </w:r>
      <w:r>
        <w:rPr>
          <w:rFonts w:ascii="Times New Roman" w:eastAsia="Times New Roman" w:hAnsi="Times New Roman" w:cs="Times New Roman"/>
          <w:sz w:val="24"/>
        </w:rPr>
        <w:t>İDARE, Tüpraş tarafından belirlenen akaryakıt spesifikasyonları hükümlerine uygunluğu tespit etmek amacıyla, YÜKLENİCİ’den tedarik edilen EK-1'deki akaryakıt ürünlerini her alımda tahlil bedeli YÜKLENİCİ tarafından ödenmek üzere tahlil yapmaya yetkili laboratuvarlara gönderir. Laboratuvar muayeneleri sonucu ürünün şartnameye uygun evsafta olmadığının belirlenmesi halinde bu durum YÜKLENİCİ’ye yazılı olarak tebliğ edilir. Yapılan tahlil sonucu kesin olup; YÜKLENİCİ’nin itiraz hakkı kabul edilmez. YÜKLENİCİ teslim etmiş olduğu standartlara uymayan akaryakıtı derhal geri alır ve yeni akaryakıt ikmalini yapar. YÜKLENİCİ geçen zaman sarfında kullanılan yakıtın bedelini talep edemez.</w:t>
      </w:r>
    </w:p>
    <w:p w:rsidR="003B31A3" w:rsidRDefault="003B31A3">
      <w:pPr>
        <w:spacing w:after="0" w:line="240" w:lineRule="auto"/>
        <w:rPr>
          <w:rFonts w:ascii="Calibri" w:eastAsia="Calibri" w:hAnsi="Calibri" w:cs="Calibri"/>
          <w:sz w:val="23"/>
        </w:rPr>
      </w:pPr>
    </w:p>
    <w:p w:rsidR="003B31A3" w:rsidRDefault="00B31508" w:rsidP="00A3154E">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4.2- </w:t>
      </w:r>
      <w:r>
        <w:rPr>
          <w:rFonts w:ascii="Times New Roman" w:eastAsia="Times New Roman" w:hAnsi="Times New Roman" w:cs="Times New Roman"/>
          <w:sz w:val="24"/>
        </w:rPr>
        <w:t xml:space="preserve">İDARE, gerek duyması halinde, EK-1'deki akaryakıt mallarını yakıt numunesine ait tahlil sonuçları çıkıncaya kadar yakıtı depolarına boşaltmayabilir. Bu durumda yakıt tankeri tahlil sonucu çıkıncaya kadar Müdürlüğümüz sınırları içeresinde bekletilecektir. </w:t>
      </w:r>
      <w:r w:rsidR="00372F8A">
        <w:rPr>
          <w:rFonts w:ascii="Times New Roman" w:eastAsia="Times New Roman" w:hAnsi="Times New Roman" w:cs="Times New Roman"/>
          <w:sz w:val="24"/>
        </w:rPr>
        <w:t xml:space="preserve">                             </w:t>
      </w:r>
    </w:p>
    <w:p w:rsidR="00A3154E" w:rsidRDefault="00A3154E">
      <w:pPr>
        <w:spacing w:after="0" w:line="240" w:lineRule="auto"/>
        <w:rPr>
          <w:rFonts w:ascii="Times New Roman" w:eastAsia="Times New Roman" w:hAnsi="Times New Roman" w:cs="Times New Roman"/>
          <w:b/>
          <w:sz w:val="24"/>
        </w:rPr>
      </w:pPr>
    </w:p>
    <w:p w:rsidR="003B31A3" w:rsidRDefault="00A3154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5</w:t>
      </w:r>
      <w:r w:rsidR="00B31508">
        <w:rPr>
          <w:rFonts w:ascii="Times New Roman" w:eastAsia="Times New Roman" w:hAnsi="Times New Roman" w:cs="Times New Roman"/>
          <w:b/>
          <w:sz w:val="24"/>
        </w:rPr>
        <w:t xml:space="preserve">- FİYAT FARKI HESABINDA: </w:t>
      </w:r>
    </w:p>
    <w:p w:rsidR="003B31A3" w:rsidRDefault="00B315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Sözleşmeye bağlanan mal alımlarına ilişkin fiyat farkı hesabında uygulanacak esas ve usullerin uygulanmasında "4734 sayılı Kamu İhale kanununa Göre İhalesi Yapılacak Olan Mal Alımlarına ilişkin Fiyat Farkı Hesabında Uygulanacak Esaslar" geçerli olacaktır. </w:t>
      </w:r>
    </w:p>
    <w:p w:rsidR="003B31A3" w:rsidRDefault="003B31A3">
      <w:pPr>
        <w:spacing w:after="0" w:line="240" w:lineRule="auto"/>
        <w:jc w:val="both"/>
        <w:rPr>
          <w:rFonts w:ascii="Times New Roman" w:eastAsia="Times New Roman" w:hAnsi="Times New Roman" w:cs="Times New Roman"/>
          <w:sz w:val="24"/>
        </w:rPr>
      </w:pPr>
    </w:p>
    <w:p w:rsidR="003B31A3" w:rsidRDefault="00B315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Fiyat farkı katsayısı ve fiyat farkı aşağıdaki formüllere göre hesaplanır: </w:t>
      </w:r>
    </w:p>
    <w:p w:rsidR="003B31A3" w:rsidRDefault="00B315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F: </w:t>
      </w:r>
      <w:r>
        <w:rPr>
          <w:rFonts w:ascii="Times New Roman" w:eastAsia="Times New Roman" w:hAnsi="Times New Roman" w:cs="Times New Roman"/>
          <w:sz w:val="24"/>
        </w:rPr>
        <w:t xml:space="preserve">Fiyat farkı tutarını ( TL), </w:t>
      </w:r>
    </w:p>
    <w:p w:rsidR="003B31A3" w:rsidRDefault="00B315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A1 </w:t>
      </w:r>
      <w:r>
        <w:rPr>
          <w:rFonts w:ascii="Times New Roman" w:eastAsia="Times New Roman" w:hAnsi="Times New Roman" w:cs="Times New Roman"/>
          <w:sz w:val="24"/>
        </w:rPr>
        <w:t xml:space="preserve">İhale tarihinde geçerli bayi satış fiyatı veya satın alınan malın ücret tarifesindeki fiyatını </w:t>
      </w:r>
    </w:p>
    <w:p w:rsidR="003B31A3" w:rsidRDefault="00B315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B: </w:t>
      </w:r>
      <w:r>
        <w:rPr>
          <w:rFonts w:ascii="Times New Roman" w:eastAsia="Times New Roman" w:hAnsi="Times New Roman" w:cs="Times New Roman"/>
          <w:sz w:val="24"/>
        </w:rPr>
        <w:t xml:space="preserve">Sözleşme fiyatını, </w:t>
      </w:r>
    </w:p>
    <w:p w:rsidR="003B31A3" w:rsidRDefault="00B315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A2: </w:t>
      </w:r>
      <w:r>
        <w:rPr>
          <w:rFonts w:ascii="Times New Roman" w:eastAsia="Times New Roman" w:hAnsi="Times New Roman" w:cs="Times New Roman"/>
          <w:sz w:val="24"/>
        </w:rPr>
        <w:t xml:space="preserve">Mal teslim tarihinde geçerli bayi satış fiyatı veya satın alınan malın ücret tarifesindeki fiyatını </w:t>
      </w:r>
    </w:p>
    <w:p w:rsidR="003B31A3" w:rsidRDefault="00B315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M: </w:t>
      </w:r>
      <w:r>
        <w:rPr>
          <w:rFonts w:ascii="Times New Roman" w:eastAsia="Times New Roman" w:hAnsi="Times New Roman" w:cs="Times New Roman"/>
          <w:sz w:val="24"/>
        </w:rPr>
        <w:t xml:space="preserve">Bayi satış fiyatının veya ücret tarifesinin değişmesinden sonra idarece teslim alınan mal miktarını, ifade eder. </w:t>
      </w:r>
    </w:p>
    <w:p w:rsidR="003B31A3" w:rsidRDefault="00B315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Fiyat farkı (F): F = (MxB)x[(A2/A1)-l] formülü ile hesaplanacaktır. </w:t>
      </w:r>
    </w:p>
    <w:p w:rsidR="003B31A3" w:rsidRDefault="00B3150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Hesaplamalarda virgülden sonraki beş basamak dikkate alınacaktır. </w:t>
      </w:r>
    </w:p>
    <w:p w:rsidR="0081660D" w:rsidRDefault="00B31508" w:rsidP="008D4A7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Hesaplama sonucunun eksi (-) çıkması halinde yükleniciden fiyat farkı kesintisi yapılacaktır. </w:t>
      </w:r>
    </w:p>
    <w:p w:rsidR="0081660D" w:rsidRDefault="00B31508" w:rsidP="008D4A7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İş bu Teknik Şartname </w:t>
      </w:r>
      <w:r w:rsidR="00A3154E">
        <w:rPr>
          <w:rFonts w:ascii="Times New Roman" w:eastAsia="Times New Roman" w:hAnsi="Times New Roman" w:cs="Times New Roman"/>
          <w:sz w:val="24"/>
        </w:rPr>
        <w:t>5</w:t>
      </w:r>
      <w:r>
        <w:rPr>
          <w:rFonts w:ascii="Times New Roman" w:eastAsia="Times New Roman" w:hAnsi="Times New Roman" w:cs="Times New Roman"/>
          <w:sz w:val="24"/>
        </w:rPr>
        <w:t xml:space="preserve"> </w:t>
      </w:r>
      <w:r w:rsidR="00A3154E">
        <w:rPr>
          <w:rFonts w:ascii="Times New Roman" w:eastAsia="Times New Roman" w:hAnsi="Times New Roman" w:cs="Times New Roman"/>
          <w:sz w:val="24"/>
        </w:rPr>
        <w:t>(Beş</w:t>
      </w:r>
      <w:r>
        <w:rPr>
          <w:rFonts w:ascii="Times New Roman" w:eastAsia="Times New Roman" w:hAnsi="Times New Roman" w:cs="Times New Roman"/>
          <w:sz w:val="24"/>
        </w:rPr>
        <w:t xml:space="preserve">) ana bölüm ve EK-1'den ibarettir. </w:t>
      </w:r>
    </w:p>
    <w:p w:rsidR="0081660D" w:rsidRDefault="0081660D" w:rsidP="008D4A78">
      <w:pPr>
        <w:spacing w:after="0" w:line="240" w:lineRule="auto"/>
        <w:jc w:val="both"/>
        <w:rPr>
          <w:rFonts w:ascii="Times New Roman" w:eastAsia="Times New Roman" w:hAnsi="Times New Roman" w:cs="Times New Roman"/>
          <w:b/>
          <w:sz w:val="24"/>
        </w:rPr>
      </w:pPr>
    </w:p>
    <w:p w:rsidR="0081660D" w:rsidRDefault="0081660D" w:rsidP="008D4A78">
      <w:pPr>
        <w:spacing w:after="0" w:line="240" w:lineRule="auto"/>
        <w:jc w:val="both"/>
        <w:rPr>
          <w:rFonts w:ascii="Times New Roman" w:eastAsia="Times New Roman" w:hAnsi="Times New Roman" w:cs="Times New Roman"/>
          <w:b/>
          <w:sz w:val="24"/>
        </w:rPr>
      </w:pPr>
    </w:p>
    <w:p w:rsidR="00A3154E" w:rsidRDefault="00A3154E" w:rsidP="008D4A78">
      <w:pPr>
        <w:spacing w:after="0" w:line="240" w:lineRule="auto"/>
        <w:jc w:val="both"/>
        <w:rPr>
          <w:rFonts w:ascii="Times New Roman" w:eastAsia="Times New Roman" w:hAnsi="Times New Roman" w:cs="Times New Roman"/>
          <w:b/>
          <w:sz w:val="24"/>
        </w:rPr>
      </w:pPr>
    </w:p>
    <w:p w:rsidR="00A3154E" w:rsidRDefault="00A3154E" w:rsidP="008D4A78">
      <w:pPr>
        <w:spacing w:after="0" w:line="240" w:lineRule="auto"/>
        <w:jc w:val="both"/>
        <w:rPr>
          <w:rFonts w:ascii="Times New Roman" w:eastAsia="Times New Roman" w:hAnsi="Times New Roman" w:cs="Times New Roman"/>
          <w:b/>
          <w:sz w:val="24"/>
        </w:rPr>
      </w:pPr>
    </w:p>
    <w:p w:rsidR="00A3154E" w:rsidRDefault="00A3154E" w:rsidP="008D4A78">
      <w:pPr>
        <w:spacing w:after="0" w:line="240" w:lineRule="auto"/>
        <w:jc w:val="both"/>
        <w:rPr>
          <w:rFonts w:ascii="Times New Roman" w:eastAsia="Times New Roman" w:hAnsi="Times New Roman" w:cs="Times New Roman"/>
          <w:b/>
          <w:sz w:val="24"/>
        </w:rPr>
      </w:pPr>
    </w:p>
    <w:p w:rsidR="00A3154E" w:rsidRDefault="00A3154E" w:rsidP="008D4A78">
      <w:pPr>
        <w:spacing w:after="0" w:line="240" w:lineRule="auto"/>
        <w:jc w:val="both"/>
        <w:rPr>
          <w:rFonts w:ascii="Times New Roman" w:eastAsia="Times New Roman" w:hAnsi="Times New Roman" w:cs="Times New Roman"/>
          <w:b/>
          <w:sz w:val="24"/>
        </w:rPr>
      </w:pPr>
    </w:p>
    <w:p w:rsidR="00A3154E" w:rsidRDefault="00A3154E" w:rsidP="008D4A78">
      <w:pPr>
        <w:spacing w:after="0" w:line="240" w:lineRule="auto"/>
        <w:jc w:val="both"/>
        <w:rPr>
          <w:rFonts w:ascii="Times New Roman" w:eastAsia="Times New Roman" w:hAnsi="Times New Roman" w:cs="Times New Roman"/>
          <w:b/>
          <w:sz w:val="24"/>
        </w:rPr>
      </w:pPr>
    </w:p>
    <w:p w:rsidR="00A3154E" w:rsidRDefault="00A3154E" w:rsidP="008D4A78">
      <w:pPr>
        <w:spacing w:after="0" w:line="240" w:lineRule="auto"/>
        <w:jc w:val="both"/>
        <w:rPr>
          <w:rFonts w:ascii="Times New Roman" w:eastAsia="Times New Roman" w:hAnsi="Times New Roman" w:cs="Times New Roman"/>
          <w:b/>
          <w:sz w:val="24"/>
        </w:rPr>
      </w:pPr>
    </w:p>
    <w:p w:rsidR="00A3154E" w:rsidRDefault="00A3154E" w:rsidP="008D4A78">
      <w:pPr>
        <w:spacing w:after="0" w:line="240" w:lineRule="auto"/>
        <w:jc w:val="both"/>
        <w:rPr>
          <w:rFonts w:ascii="Times New Roman" w:eastAsia="Times New Roman" w:hAnsi="Times New Roman" w:cs="Times New Roman"/>
          <w:b/>
          <w:sz w:val="24"/>
        </w:rPr>
      </w:pPr>
    </w:p>
    <w:p w:rsidR="00A3154E" w:rsidRDefault="00A3154E" w:rsidP="008D4A78">
      <w:pPr>
        <w:spacing w:after="0" w:line="240" w:lineRule="auto"/>
        <w:jc w:val="both"/>
        <w:rPr>
          <w:rFonts w:ascii="Times New Roman" w:eastAsia="Times New Roman" w:hAnsi="Times New Roman" w:cs="Times New Roman"/>
          <w:b/>
          <w:sz w:val="24"/>
        </w:rPr>
      </w:pPr>
    </w:p>
    <w:p w:rsidR="00A3154E" w:rsidRDefault="00A3154E" w:rsidP="008D4A78">
      <w:pPr>
        <w:spacing w:after="0" w:line="240" w:lineRule="auto"/>
        <w:jc w:val="both"/>
        <w:rPr>
          <w:rFonts w:ascii="Times New Roman" w:eastAsia="Times New Roman" w:hAnsi="Times New Roman" w:cs="Times New Roman"/>
          <w:b/>
          <w:sz w:val="24"/>
        </w:rPr>
      </w:pPr>
    </w:p>
    <w:p w:rsidR="00A3154E" w:rsidRDefault="00A3154E" w:rsidP="008D4A78">
      <w:pPr>
        <w:spacing w:after="0" w:line="240" w:lineRule="auto"/>
        <w:jc w:val="both"/>
        <w:rPr>
          <w:rFonts w:ascii="Times New Roman" w:eastAsia="Times New Roman" w:hAnsi="Times New Roman" w:cs="Times New Roman"/>
          <w:b/>
          <w:sz w:val="24"/>
        </w:rPr>
      </w:pPr>
    </w:p>
    <w:p w:rsidR="00A3154E" w:rsidRDefault="00A3154E" w:rsidP="008D4A78">
      <w:pPr>
        <w:spacing w:after="0" w:line="240" w:lineRule="auto"/>
        <w:jc w:val="both"/>
        <w:rPr>
          <w:rFonts w:ascii="Times New Roman" w:eastAsia="Times New Roman" w:hAnsi="Times New Roman" w:cs="Times New Roman"/>
          <w:b/>
          <w:sz w:val="24"/>
        </w:rPr>
      </w:pPr>
    </w:p>
    <w:p w:rsidR="00A3154E" w:rsidRDefault="00A3154E" w:rsidP="008D4A78">
      <w:pPr>
        <w:spacing w:after="0" w:line="240" w:lineRule="auto"/>
        <w:jc w:val="both"/>
        <w:rPr>
          <w:rFonts w:ascii="Times New Roman" w:eastAsia="Times New Roman" w:hAnsi="Times New Roman" w:cs="Times New Roman"/>
          <w:b/>
          <w:sz w:val="24"/>
        </w:rPr>
      </w:pPr>
    </w:p>
    <w:p w:rsidR="00A3154E" w:rsidRDefault="00A3154E" w:rsidP="008D4A78">
      <w:pPr>
        <w:spacing w:after="0" w:line="240" w:lineRule="auto"/>
        <w:jc w:val="both"/>
        <w:rPr>
          <w:rFonts w:ascii="Times New Roman" w:eastAsia="Times New Roman" w:hAnsi="Times New Roman" w:cs="Times New Roman"/>
          <w:b/>
          <w:sz w:val="24"/>
        </w:rPr>
      </w:pPr>
    </w:p>
    <w:p w:rsidR="00A3154E" w:rsidRDefault="00A3154E" w:rsidP="008D4A78">
      <w:pPr>
        <w:spacing w:after="0" w:line="240" w:lineRule="auto"/>
        <w:jc w:val="both"/>
        <w:rPr>
          <w:rFonts w:ascii="Times New Roman" w:eastAsia="Times New Roman" w:hAnsi="Times New Roman" w:cs="Times New Roman"/>
          <w:b/>
          <w:sz w:val="24"/>
        </w:rPr>
      </w:pPr>
    </w:p>
    <w:p w:rsidR="00A3154E" w:rsidRDefault="00A3154E" w:rsidP="008D4A78">
      <w:pPr>
        <w:spacing w:after="0" w:line="240" w:lineRule="auto"/>
        <w:jc w:val="both"/>
        <w:rPr>
          <w:rFonts w:ascii="Times New Roman" w:eastAsia="Times New Roman" w:hAnsi="Times New Roman" w:cs="Times New Roman"/>
          <w:b/>
          <w:sz w:val="24"/>
        </w:rPr>
      </w:pPr>
    </w:p>
    <w:p w:rsidR="00A3154E" w:rsidRDefault="00A3154E" w:rsidP="008D4A78">
      <w:pPr>
        <w:spacing w:after="0" w:line="240" w:lineRule="auto"/>
        <w:jc w:val="both"/>
        <w:rPr>
          <w:rFonts w:ascii="Times New Roman" w:eastAsia="Times New Roman" w:hAnsi="Times New Roman" w:cs="Times New Roman"/>
          <w:b/>
          <w:sz w:val="24"/>
        </w:rPr>
      </w:pPr>
    </w:p>
    <w:p w:rsidR="003B31A3" w:rsidRDefault="00B31508" w:rsidP="008D4A7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EK- 1 </w:t>
      </w:r>
    </w:p>
    <w:tbl>
      <w:tblPr>
        <w:tblW w:w="0" w:type="auto"/>
        <w:tblInd w:w="250" w:type="dxa"/>
        <w:tblCellMar>
          <w:left w:w="10" w:type="dxa"/>
          <w:right w:w="10" w:type="dxa"/>
        </w:tblCellMar>
        <w:tblLook w:val="04A0" w:firstRow="1" w:lastRow="0" w:firstColumn="1" w:lastColumn="0" w:noHBand="0" w:noVBand="1"/>
      </w:tblPr>
      <w:tblGrid>
        <w:gridCol w:w="8812"/>
      </w:tblGrid>
      <w:tr w:rsidR="003B31A3">
        <w:tc>
          <w:tcPr>
            <w:tcW w:w="9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ŞIRNAK ŞERAFETTİN ELÇİ HAVALİMANI MÜDÜRLÜĞÜ</w:t>
            </w:r>
          </w:p>
          <w:p w:rsidR="003B31A3" w:rsidRDefault="00B3150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2021-2022 YILLARI AKARYAKIT ÜRÜNLERİ İHTİYACI</w:t>
            </w:r>
          </w:p>
          <w:tbl>
            <w:tblPr>
              <w:tblW w:w="0" w:type="auto"/>
              <w:tblCellMar>
                <w:left w:w="10" w:type="dxa"/>
                <w:right w:w="10" w:type="dxa"/>
              </w:tblCellMar>
              <w:tblLook w:val="04A0" w:firstRow="1" w:lastRow="0" w:firstColumn="1" w:lastColumn="0" w:noHBand="0" w:noVBand="1"/>
            </w:tblPr>
            <w:tblGrid>
              <w:gridCol w:w="4674"/>
              <w:gridCol w:w="2611"/>
              <w:gridCol w:w="1301"/>
            </w:tblGrid>
            <w:tr w:rsidR="003B31A3" w:rsidTr="00076C28">
              <w:tc>
                <w:tcPr>
                  <w:tcW w:w="4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31A3" w:rsidRDefault="00B3150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Kalorifer Yakıtı (Kükürt Oranı %0.1'i </w:t>
                  </w:r>
                </w:p>
                <w:p w:rsidR="003B31A3" w:rsidRDefault="00B31508">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geçen ancak %1'i geçmeyenler) </w:t>
                  </w:r>
                </w:p>
              </w:tc>
              <w:tc>
                <w:tcPr>
                  <w:tcW w:w="2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31A3" w:rsidRDefault="00411B0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440.000KG</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31A3" w:rsidRDefault="003B31A3">
                  <w:pPr>
                    <w:spacing w:after="0" w:line="240" w:lineRule="auto"/>
                    <w:rPr>
                      <w:rFonts w:ascii="Times New Roman" w:eastAsia="Times New Roman" w:hAnsi="Times New Roman" w:cs="Times New Roman"/>
                      <w:sz w:val="24"/>
                    </w:rPr>
                  </w:pPr>
                </w:p>
              </w:tc>
            </w:tr>
          </w:tbl>
          <w:p w:rsidR="003B31A3" w:rsidRDefault="003B31A3">
            <w:pPr>
              <w:spacing w:after="0" w:line="240" w:lineRule="auto"/>
            </w:pPr>
          </w:p>
        </w:tc>
      </w:tr>
    </w:tbl>
    <w:p w:rsidR="003B31A3" w:rsidRDefault="003B31A3">
      <w:pPr>
        <w:spacing w:after="200" w:line="276" w:lineRule="auto"/>
        <w:rPr>
          <w:rFonts w:ascii="Calibri" w:eastAsia="Calibri" w:hAnsi="Calibri" w:cs="Calibri"/>
        </w:rPr>
      </w:pPr>
    </w:p>
    <w:sectPr w:rsidR="003B31A3" w:rsidSect="00B3150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A3"/>
    <w:rsid w:val="00076C28"/>
    <w:rsid w:val="002726E0"/>
    <w:rsid w:val="00372F8A"/>
    <w:rsid w:val="003B31A3"/>
    <w:rsid w:val="00411B04"/>
    <w:rsid w:val="0081660D"/>
    <w:rsid w:val="008D4A78"/>
    <w:rsid w:val="008E2E3B"/>
    <w:rsid w:val="00A3154E"/>
    <w:rsid w:val="00B31508"/>
    <w:rsid w:val="00F40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4CD08-3698-4149-8C15-C43DE49C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15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1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79E0E6-3028-409F-B679-6807AF6AC0A7}"/>
</file>

<file path=customXml/itemProps2.xml><?xml version="1.0" encoding="utf-8"?>
<ds:datastoreItem xmlns:ds="http://schemas.openxmlformats.org/officeDocument/2006/customXml" ds:itemID="{B8C7F6E4-EA64-426D-8C69-9052E1C71308}"/>
</file>

<file path=customXml/itemProps3.xml><?xml version="1.0" encoding="utf-8"?>
<ds:datastoreItem xmlns:ds="http://schemas.openxmlformats.org/officeDocument/2006/customXml" ds:itemID="{E6783E46-7661-4575-B46D-A8AB4F12023F}"/>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7879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DHMI</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 Tayyip KARA</dc:creator>
  <cp:lastModifiedBy>Recep Tayyip KARA</cp:lastModifiedBy>
  <cp:revision>2</cp:revision>
  <cp:lastPrinted>2022-09-26T10:04:00Z</cp:lastPrinted>
  <dcterms:created xsi:type="dcterms:W3CDTF">2022-09-26T10:06:00Z</dcterms:created>
  <dcterms:modified xsi:type="dcterms:W3CDTF">2022-09-26T10:06:00Z</dcterms:modified>
</cp:coreProperties>
</file>